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hint="default" w:ascii="Times New Roman" w:hAnsi="Times New Roman" w:eastAsia="黑体" w:cs="Times New Roman"/>
          <w:b w:val="0"/>
          <w:bCs/>
          <w:color w:val="000000"/>
          <w:sz w:val="32"/>
          <w:szCs w:val="32"/>
          <w:lang w:val="en-US" w:eastAsia="zh-CN"/>
        </w:rPr>
      </w:pPr>
      <w:r>
        <w:rPr>
          <w:rFonts w:hint="default" w:ascii="Times New Roman" w:hAnsi="Times New Roman" w:eastAsia="黑体" w:cs="Times New Roman"/>
          <w:b w:val="0"/>
          <w:bCs/>
          <w:color w:val="000000"/>
          <w:sz w:val="32"/>
          <w:szCs w:val="32"/>
        </w:rPr>
        <w:t>附件3</w:t>
      </w:r>
    </w:p>
    <w:p>
      <w:pPr>
        <w:spacing w:line="576" w:lineRule="exact"/>
        <w:jc w:val="center"/>
        <w:rPr>
          <w:rFonts w:hint="default" w:ascii="Times New Roman" w:hAnsi="Times New Roman" w:eastAsia="宋体" w:cs="Times New Roman"/>
          <w:b/>
          <w:color w:val="000000"/>
          <w:sz w:val="44"/>
          <w:szCs w:val="44"/>
        </w:rPr>
      </w:pPr>
      <w:bookmarkStart w:id="0" w:name="_GoBack"/>
      <w:r>
        <w:rPr>
          <w:rFonts w:hint="default" w:ascii="Times New Roman" w:hAnsi="Times New Roman" w:eastAsia="方正小标宋简体" w:cs="Times New Roman"/>
          <w:b w:val="0"/>
          <w:bCs/>
          <w:color w:val="000000"/>
          <w:sz w:val="44"/>
          <w:szCs w:val="44"/>
        </w:rPr>
        <w:t>统保示范项目保险费率规章</w:t>
      </w:r>
    </w:p>
    <w:bookmarkEnd w:id="0"/>
    <w:p>
      <w:pPr>
        <w:spacing w:line="360" w:lineRule="auto"/>
        <w:ind w:firstLine="643" w:firstLineChars="200"/>
        <w:rPr>
          <w:rFonts w:hint="default" w:ascii="Times New Roman" w:hAnsi="Times New Roman" w:eastAsia="仿宋_GB2312" w:cs="Times New Roman"/>
          <w:b/>
          <w:sz w:val="32"/>
          <w:szCs w:val="32"/>
        </w:rPr>
      </w:pPr>
    </w:p>
    <w:p>
      <w:pPr>
        <w:spacing w:line="360" w:lineRule="auto"/>
        <w:ind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1、基本险基础保费</w:t>
      </w:r>
    </w:p>
    <w:tbl>
      <w:tblPr>
        <w:tblStyle w:val="3"/>
        <w:tblW w:w="935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7"/>
        <w:gridCol w:w="6390"/>
        <w:gridCol w:w="1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5" w:hRule="exact"/>
          <w:jc w:val="center"/>
        </w:trPr>
        <w:tc>
          <w:tcPr>
            <w:tcW w:w="1527" w:type="dxa"/>
            <w:vMerge w:val="restart"/>
            <w:vAlign w:val="center"/>
          </w:tcPr>
          <w:p>
            <w:pPr>
              <w:spacing w:line="360" w:lineRule="auto"/>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住养老人</w:t>
            </w:r>
          </w:p>
        </w:tc>
        <w:tc>
          <w:tcPr>
            <w:tcW w:w="6390" w:type="dxa"/>
            <w:vAlign w:val="center"/>
          </w:tcPr>
          <w:p>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每次事故每位住养老人责任限额</w:t>
            </w:r>
          </w:p>
        </w:tc>
        <w:tc>
          <w:tcPr>
            <w:tcW w:w="1439" w:type="dxa"/>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5" w:hRule="exact"/>
          <w:jc w:val="center"/>
        </w:trPr>
        <w:tc>
          <w:tcPr>
            <w:tcW w:w="1527" w:type="dxa"/>
            <w:vMerge w:val="continue"/>
            <w:vAlign w:val="center"/>
          </w:tcPr>
          <w:p>
            <w:pPr>
              <w:spacing w:line="360" w:lineRule="auto"/>
              <w:jc w:val="center"/>
              <w:rPr>
                <w:rFonts w:hint="default" w:ascii="Times New Roman" w:hAnsi="Times New Roman" w:eastAsia="仿宋_GB2312" w:cs="Times New Roman"/>
                <w:b/>
                <w:sz w:val="28"/>
                <w:szCs w:val="28"/>
              </w:rPr>
            </w:pPr>
          </w:p>
        </w:tc>
        <w:tc>
          <w:tcPr>
            <w:tcW w:w="6390" w:type="dxa"/>
            <w:vAlign w:val="center"/>
          </w:tcPr>
          <w:p>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每次事故每位住养老人医疗费用责任限额</w:t>
            </w:r>
          </w:p>
        </w:tc>
        <w:tc>
          <w:tcPr>
            <w:tcW w:w="1439" w:type="dxa"/>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4" w:hRule="exact"/>
          <w:jc w:val="center"/>
        </w:trPr>
        <w:tc>
          <w:tcPr>
            <w:tcW w:w="1527" w:type="dxa"/>
            <w:vMerge w:val="continue"/>
            <w:vAlign w:val="center"/>
          </w:tcPr>
          <w:p>
            <w:pPr>
              <w:spacing w:line="360" w:lineRule="auto"/>
              <w:jc w:val="center"/>
              <w:rPr>
                <w:rFonts w:hint="default" w:ascii="Times New Roman" w:hAnsi="Times New Roman" w:eastAsia="仿宋_GB2312" w:cs="Times New Roman"/>
                <w:b/>
                <w:sz w:val="28"/>
                <w:szCs w:val="28"/>
              </w:rPr>
            </w:pPr>
          </w:p>
        </w:tc>
        <w:tc>
          <w:tcPr>
            <w:tcW w:w="6390" w:type="dxa"/>
            <w:vAlign w:val="center"/>
          </w:tcPr>
          <w:p>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每次事故每位住养老人残疾辅助器具费限额</w:t>
            </w:r>
          </w:p>
        </w:tc>
        <w:tc>
          <w:tcPr>
            <w:tcW w:w="1439" w:type="dxa"/>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0.6万元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838" w:hRule="exact"/>
          <w:jc w:val="center"/>
        </w:trPr>
        <w:tc>
          <w:tcPr>
            <w:tcW w:w="1527" w:type="dxa"/>
            <w:vMerge w:val="continue"/>
            <w:vAlign w:val="center"/>
          </w:tcPr>
          <w:p>
            <w:pPr>
              <w:spacing w:line="360" w:lineRule="auto"/>
              <w:jc w:val="center"/>
              <w:rPr>
                <w:rFonts w:hint="default" w:ascii="Times New Roman" w:hAnsi="Times New Roman" w:eastAsia="仿宋_GB2312" w:cs="Times New Roman"/>
                <w:b/>
                <w:sz w:val="28"/>
                <w:szCs w:val="28"/>
              </w:rPr>
            </w:pPr>
          </w:p>
        </w:tc>
        <w:tc>
          <w:tcPr>
            <w:tcW w:w="6390" w:type="dxa"/>
            <w:vAlign w:val="center"/>
          </w:tcPr>
          <w:p>
            <w:pPr>
              <w:spacing w:line="360" w:lineRule="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每次事故每位住养老人丧葬费限额</w:t>
            </w:r>
          </w:p>
        </w:tc>
        <w:tc>
          <w:tcPr>
            <w:tcW w:w="1439" w:type="dxa"/>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8" w:hRule="exact"/>
          <w:jc w:val="center"/>
        </w:trPr>
        <w:tc>
          <w:tcPr>
            <w:tcW w:w="1527" w:type="dxa"/>
            <w:vMerge w:val="continue"/>
            <w:vAlign w:val="center"/>
          </w:tcPr>
          <w:p>
            <w:pPr>
              <w:spacing w:line="360" w:lineRule="auto"/>
              <w:jc w:val="center"/>
              <w:rPr>
                <w:rFonts w:hint="default" w:ascii="Times New Roman" w:hAnsi="Times New Roman" w:eastAsia="仿宋_GB2312" w:cs="Times New Roman"/>
                <w:b/>
                <w:sz w:val="28"/>
                <w:szCs w:val="28"/>
              </w:rPr>
            </w:pPr>
          </w:p>
        </w:tc>
        <w:tc>
          <w:tcPr>
            <w:tcW w:w="6390" w:type="dxa"/>
            <w:vAlign w:val="center"/>
          </w:tcPr>
          <w:p>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每次事故每位住养老人紧急救援费用限额</w:t>
            </w:r>
          </w:p>
        </w:tc>
        <w:tc>
          <w:tcPr>
            <w:tcW w:w="1439" w:type="dxa"/>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0.2万元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8" w:hRule="exact"/>
          <w:jc w:val="center"/>
        </w:trPr>
        <w:tc>
          <w:tcPr>
            <w:tcW w:w="1527" w:type="dxa"/>
            <w:vMerge w:val="continue"/>
            <w:vAlign w:val="center"/>
          </w:tcPr>
          <w:p>
            <w:pPr>
              <w:spacing w:line="360" w:lineRule="auto"/>
              <w:jc w:val="center"/>
              <w:rPr>
                <w:rFonts w:hint="default" w:ascii="Times New Roman" w:hAnsi="Times New Roman" w:eastAsia="仿宋_GB2312" w:cs="Times New Roman"/>
                <w:b/>
                <w:sz w:val="28"/>
                <w:szCs w:val="28"/>
              </w:rPr>
            </w:pPr>
          </w:p>
        </w:tc>
        <w:tc>
          <w:tcPr>
            <w:tcW w:w="6390" w:type="dxa"/>
            <w:vAlign w:val="center"/>
          </w:tcPr>
          <w:p>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每次事故每位住养老人公平原则限额</w:t>
            </w:r>
          </w:p>
        </w:tc>
        <w:tc>
          <w:tcPr>
            <w:tcW w:w="1439" w:type="dxa"/>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0" w:hRule="exact"/>
          <w:jc w:val="center"/>
        </w:trPr>
        <w:tc>
          <w:tcPr>
            <w:tcW w:w="1527" w:type="dxa"/>
            <w:vMerge w:val="continue"/>
            <w:vAlign w:val="center"/>
          </w:tcPr>
          <w:p>
            <w:pPr>
              <w:spacing w:line="360" w:lineRule="auto"/>
              <w:jc w:val="center"/>
              <w:rPr>
                <w:rFonts w:hint="default" w:ascii="Times New Roman" w:hAnsi="Times New Roman" w:eastAsia="仿宋_GB2312" w:cs="Times New Roman"/>
                <w:b/>
                <w:sz w:val="28"/>
                <w:szCs w:val="28"/>
              </w:rPr>
            </w:pPr>
          </w:p>
        </w:tc>
        <w:tc>
          <w:tcPr>
            <w:tcW w:w="6390" w:type="dxa"/>
            <w:vAlign w:val="center"/>
          </w:tcPr>
          <w:p>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每人传染病身故补偿金</w:t>
            </w:r>
          </w:p>
        </w:tc>
        <w:tc>
          <w:tcPr>
            <w:tcW w:w="1439" w:type="dxa"/>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0" w:hRule="exact"/>
          <w:jc w:val="center"/>
        </w:trPr>
        <w:tc>
          <w:tcPr>
            <w:tcW w:w="1527" w:type="dxa"/>
            <w:vMerge w:val="restart"/>
            <w:vAlign w:val="center"/>
          </w:tcPr>
          <w:p>
            <w:pPr>
              <w:spacing w:line="360" w:lineRule="auto"/>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第三者</w:t>
            </w:r>
          </w:p>
        </w:tc>
        <w:tc>
          <w:tcPr>
            <w:tcW w:w="6390" w:type="dxa"/>
            <w:vAlign w:val="center"/>
          </w:tcPr>
          <w:p>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每次事故每位第三者责任限额</w:t>
            </w:r>
          </w:p>
        </w:tc>
        <w:tc>
          <w:tcPr>
            <w:tcW w:w="1439" w:type="dxa"/>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92" w:hRule="exact"/>
          <w:jc w:val="center"/>
        </w:trPr>
        <w:tc>
          <w:tcPr>
            <w:tcW w:w="1527" w:type="dxa"/>
            <w:vMerge w:val="continue"/>
            <w:vAlign w:val="center"/>
          </w:tcPr>
          <w:p>
            <w:pPr>
              <w:spacing w:line="360" w:lineRule="auto"/>
              <w:jc w:val="center"/>
              <w:rPr>
                <w:rFonts w:hint="default" w:ascii="Times New Roman" w:hAnsi="Times New Roman" w:eastAsia="仿宋_GB2312" w:cs="Times New Roman"/>
                <w:b/>
                <w:sz w:val="28"/>
                <w:szCs w:val="28"/>
              </w:rPr>
            </w:pPr>
          </w:p>
        </w:tc>
        <w:tc>
          <w:tcPr>
            <w:tcW w:w="6390" w:type="dxa"/>
            <w:vAlign w:val="center"/>
          </w:tcPr>
          <w:p>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每次事故每位第三者医疗费用责任限额</w:t>
            </w:r>
          </w:p>
        </w:tc>
        <w:tc>
          <w:tcPr>
            <w:tcW w:w="1439" w:type="dxa"/>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6" w:hRule="exact"/>
          <w:jc w:val="center"/>
        </w:trPr>
        <w:tc>
          <w:tcPr>
            <w:tcW w:w="1527" w:type="dxa"/>
            <w:vMerge w:val="continue"/>
            <w:vAlign w:val="center"/>
          </w:tcPr>
          <w:p>
            <w:pPr>
              <w:spacing w:line="360" w:lineRule="auto"/>
              <w:jc w:val="center"/>
              <w:rPr>
                <w:rFonts w:hint="default" w:ascii="Times New Roman" w:hAnsi="Times New Roman" w:eastAsia="仿宋_GB2312" w:cs="Times New Roman"/>
                <w:b/>
                <w:sz w:val="28"/>
                <w:szCs w:val="28"/>
              </w:rPr>
            </w:pPr>
          </w:p>
        </w:tc>
        <w:tc>
          <w:tcPr>
            <w:tcW w:w="6390" w:type="dxa"/>
            <w:vAlign w:val="center"/>
          </w:tcPr>
          <w:p>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每次事故每位第三者紧急救援费用限额</w:t>
            </w:r>
          </w:p>
        </w:tc>
        <w:tc>
          <w:tcPr>
            <w:tcW w:w="1439" w:type="dxa"/>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0.2万元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2" w:hRule="exact"/>
          <w:jc w:val="center"/>
        </w:trPr>
        <w:tc>
          <w:tcPr>
            <w:tcW w:w="1527" w:type="dxa"/>
            <w:vMerge w:val="restart"/>
            <w:vAlign w:val="center"/>
          </w:tcPr>
          <w:p>
            <w:pPr>
              <w:spacing w:line="360" w:lineRule="auto"/>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从业人员</w:t>
            </w:r>
          </w:p>
        </w:tc>
        <w:tc>
          <w:tcPr>
            <w:tcW w:w="6390" w:type="dxa"/>
            <w:vAlign w:val="center"/>
          </w:tcPr>
          <w:p>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每次事故每位从业人员责任限额</w:t>
            </w:r>
          </w:p>
        </w:tc>
        <w:tc>
          <w:tcPr>
            <w:tcW w:w="1439" w:type="dxa"/>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8" w:hRule="exact"/>
          <w:jc w:val="center"/>
        </w:trPr>
        <w:tc>
          <w:tcPr>
            <w:tcW w:w="1527" w:type="dxa"/>
            <w:vMerge w:val="continue"/>
            <w:vAlign w:val="center"/>
          </w:tcPr>
          <w:p>
            <w:pPr>
              <w:spacing w:line="360" w:lineRule="auto"/>
              <w:rPr>
                <w:rFonts w:hint="default" w:ascii="Times New Roman" w:hAnsi="Times New Roman" w:eastAsia="仿宋_GB2312" w:cs="Times New Roman"/>
                <w:bCs/>
                <w:sz w:val="28"/>
                <w:szCs w:val="28"/>
              </w:rPr>
            </w:pPr>
          </w:p>
        </w:tc>
        <w:tc>
          <w:tcPr>
            <w:tcW w:w="6390" w:type="dxa"/>
            <w:vAlign w:val="center"/>
          </w:tcPr>
          <w:p>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每次事故每位从业人员医疗费用责任限额</w:t>
            </w:r>
          </w:p>
        </w:tc>
        <w:tc>
          <w:tcPr>
            <w:tcW w:w="1439" w:type="dxa"/>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18" w:hRule="exact"/>
          <w:jc w:val="center"/>
        </w:trPr>
        <w:tc>
          <w:tcPr>
            <w:tcW w:w="1527" w:type="dxa"/>
            <w:vMerge w:val="continue"/>
            <w:vAlign w:val="center"/>
          </w:tcPr>
          <w:p>
            <w:pPr>
              <w:spacing w:line="360" w:lineRule="auto"/>
              <w:rPr>
                <w:rFonts w:hint="default" w:ascii="Times New Roman" w:hAnsi="Times New Roman" w:eastAsia="仿宋_GB2312" w:cs="Times New Roman"/>
                <w:bCs/>
                <w:sz w:val="28"/>
                <w:szCs w:val="28"/>
              </w:rPr>
            </w:pPr>
          </w:p>
        </w:tc>
        <w:tc>
          <w:tcPr>
            <w:tcW w:w="6390" w:type="dxa"/>
            <w:vAlign w:val="center"/>
          </w:tcPr>
          <w:p>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每次事故每位从业人员紧急救援费用限额</w:t>
            </w:r>
          </w:p>
        </w:tc>
        <w:tc>
          <w:tcPr>
            <w:tcW w:w="1439" w:type="dxa"/>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0.2万元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00" w:hRule="exact"/>
          <w:jc w:val="center"/>
        </w:trPr>
        <w:tc>
          <w:tcPr>
            <w:tcW w:w="1527" w:type="dxa"/>
            <w:vMerge w:val="continue"/>
            <w:vAlign w:val="center"/>
          </w:tcPr>
          <w:p>
            <w:pPr>
              <w:spacing w:line="360" w:lineRule="auto"/>
              <w:rPr>
                <w:rFonts w:hint="default" w:ascii="Times New Roman" w:hAnsi="Times New Roman" w:eastAsia="仿宋_GB2312" w:cs="Times New Roman"/>
                <w:bCs/>
                <w:sz w:val="28"/>
                <w:szCs w:val="28"/>
              </w:rPr>
            </w:pPr>
          </w:p>
        </w:tc>
        <w:tc>
          <w:tcPr>
            <w:tcW w:w="6390" w:type="dxa"/>
            <w:vAlign w:val="center"/>
          </w:tcPr>
          <w:p>
            <w:pPr>
              <w:spacing w:line="360" w:lineRule="auto"/>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每人传染病身故补偿金</w:t>
            </w:r>
          </w:p>
        </w:tc>
        <w:tc>
          <w:tcPr>
            <w:tcW w:w="1439" w:type="dxa"/>
            <w:vAlign w:val="center"/>
          </w:tcPr>
          <w:p>
            <w:pPr>
              <w:spacing w:line="360" w:lineRule="auto"/>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9356" w:type="dxa"/>
            <w:gridSpan w:val="3"/>
            <w:vAlign w:val="center"/>
          </w:tcPr>
          <w:p>
            <w:pP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每次事故及累计责任限额：5000万元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9356" w:type="dxa"/>
            <w:gridSpan w:val="3"/>
            <w:vAlign w:val="center"/>
          </w:tcPr>
          <w:p>
            <w:pP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每次事故及累计法律费用责任限额：20万元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67" w:hRule="exact"/>
          <w:jc w:val="center"/>
        </w:trPr>
        <w:tc>
          <w:tcPr>
            <w:tcW w:w="1527" w:type="dxa"/>
            <w:vAlign w:val="center"/>
          </w:tcPr>
          <w:p>
            <w:pPr>
              <w:spacing w:line="360" w:lineRule="auto"/>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每床保费</w:t>
            </w:r>
          </w:p>
        </w:tc>
        <w:tc>
          <w:tcPr>
            <w:tcW w:w="7829" w:type="dxa"/>
            <w:gridSpan w:val="2"/>
            <w:vAlign w:val="center"/>
          </w:tcPr>
          <w:p>
            <w:pPr>
              <w:spacing w:line="360" w:lineRule="auto"/>
              <w:rPr>
                <w:rFonts w:hint="default" w:ascii="Times New Roman" w:hAnsi="Times New Roman" w:eastAsia="仿宋_GB2312" w:cs="Times New Roman"/>
                <w:bCs/>
                <w:color w:val="C00000"/>
                <w:sz w:val="28"/>
                <w:szCs w:val="28"/>
                <w:u w:val="single"/>
              </w:rPr>
            </w:pPr>
            <w:r>
              <w:rPr>
                <w:rFonts w:hint="default" w:ascii="Times New Roman" w:hAnsi="Times New Roman" w:eastAsia="仿宋_GB2312" w:cs="Times New Roman"/>
                <w:bCs/>
                <w:sz w:val="28"/>
                <w:szCs w:val="28"/>
                <w:u w:val="single"/>
              </w:rPr>
              <w:t xml:space="preserve"> 110 </w:t>
            </w:r>
            <w:r>
              <w:rPr>
                <w:rFonts w:hint="default" w:ascii="Times New Roman" w:hAnsi="Times New Roman" w:eastAsia="仿宋_GB2312" w:cs="Times New Roman"/>
                <w:bCs/>
                <w:sz w:val="28"/>
                <w:szCs w:val="28"/>
              </w:rPr>
              <w:t>元/床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42" w:hRule="exact"/>
          <w:jc w:val="center"/>
        </w:trPr>
        <w:tc>
          <w:tcPr>
            <w:tcW w:w="1527" w:type="dxa"/>
            <w:vAlign w:val="center"/>
          </w:tcPr>
          <w:p>
            <w:pPr>
              <w:spacing w:line="360" w:lineRule="auto"/>
              <w:jc w:val="center"/>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基础保费</w:t>
            </w:r>
          </w:p>
        </w:tc>
        <w:tc>
          <w:tcPr>
            <w:tcW w:w="7829" w:type="dxa"/>
            <w:gridSpan w:val="2"/>
            <w:vAlign w:val="center"/>
          </w:tcPr>
          <w:p>
            <w:pPr>
              <w:spacing w:line="360" w:lineRule="auto"/>
              <w:jc w:val="both"/>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每床保费*实际入住床位数</w:t>
            </w:r>
          </w:p>
        </w:tc>
      </w:tr>
    </w:tbl>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cs="Times New Roman"/>
          <w:sz w:val="28"/>
          <w:szCs w:val="28"/>
        </w:rPr>
      </w:pPr>
      <w:r>
        <w:rPr>
          <w:rFonts w:hint="default" w:ascii="Times New Roman" w:hAnsi="Times New Roman" w:cs="Times New Roman"/>
          <w:sz w:val="28"/>
          <w:szCs w:val="28"/>
        </w:rPr>
        <w:t>注：民办养老机构实际入住床位数按照投保前最近一次政府所补贴的床位数确定；公办养老机构实际入住床位数按照投保时实际入住住养老人的床位数确定。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2、调整因子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（1）</w:t>
      </w:r>
      <w:r>
        <w:rPr>
          <w:rFonts w:hint="default" w:ascii="Times New Roman" w:hAnsi="Times New Roman" w:eastAsia="仿宋_GB2312" w:cs="Times New Roman"/>
          <w:b/>
          <w:sz w:val="32"/>
          <w:szCs w:val="32"/>
        </w:rPr>
        <w:t>住养老人</w:t>
      </w:r>
      <w:r>
        <w:rPr>
          <w:rFonts w:hint="default" w:ascii="Times New Roman" w:hAnsi="Times New Roman" w:eastAsia="仿宋_GB2312" w:cs="Times New Roman"/>
          <w:b/>
          <w:bCs/>
          <w:sz w:val="32"/>
          <w:szCs w:val="32"/>
        </w:rPr>
        <w:t>医疗费用限额调整因子</w:t>
      </w:r>
    </w:p>
    <w:tbl>
      <w:tblPr>
        <w:tblStyle w:val="3"/>
        <w:tblW w:w="8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481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9" w:type="dxa"/>
            <w:shd w:val="clear" w:color="auto" w:fill="F1F1F1"/>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4817" w:type="dxa"/>
            <w:shd w:val="clear" w:color="auto" w:fill="F1F1F1"/>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每次事故每位住养老人医疗费用责任限额</w:t>
            </w:r>
          </w:p>
        </w:tc>
        <w:tc>
          <w:tcPr>
            <w:tcW w:w="2629" w:type="dxa"/>
            <w:shd w:val="clear" w:color="auto" w:fill="F1F1F1"/>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浮动比例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9"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4817"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5万元</w:t>
            </w:r>
          </w:p>
        </w:tc>
        <w:tc>
          <w:tcPr>
            <w:tcW w:w="2629"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9"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4817"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3万元</w:t>
            </w:r>
          </w:p>
        </w:tc>
        <w:tc>
          <w:tcPr>
            <w:tcW w:w="2629"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-10%（下浮）</w:t>
            </w:r>
          </w:p>
        </w:tc>
      </w:tr>
    </w:tbl>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（2）星级评定调整因子</w:t>
      </w:r>
    </w:p>
    <w:tbl>
      <w:tblPr>
        <w:tblStyle w:val="3"/>
        <w:tblW w:w="83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4817"/>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9" w:type="dxa"/>
            <w:shd w:val="clear" w:color="auto" w:fill="F1F1F1"/>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4817" w:type="dxa"/>
            <w:shd w:val="clear" w:color="auto" w:fill="F1F1F1"/>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养老机构星级</w:t>
            </w:r>
          </w:p>
        </w:tc>
        <w:tc>
          <w:tcPr>
            <w:tcW w:w="2629" w:type="dxa"/>
            <w:shd w:val="clear" w:color="auto" w:fill="F1F1F1"/>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浮动比例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9"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4817"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一星</w:t>
            </w:r>
          </w:p>
        </w:tc>
        <w:tc>
          <w:tcPr>
            <w:tcW w:w="2629"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9"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4817"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二星</w:t>
            </w:r>
          </w:p>
        </w:tc>
        <w:tc>
          <w:tcPr>
            <w:tcW w:w="2629"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9"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4817"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三星</w:t>
            </w:r>
          </w:p>
        </w:tc>
        <w:tc>
          <w:tcPr>
            <w:tcW w:w="2629"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9"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4817"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四星</w:t>
            </w:r>
          </w:p>
        </w:tc>
        <w:tc>
          <w:tcPr>
            <w:tcW w:w="2629"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-8%（下浮）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19"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p>
        </w:tc>
        <w:tc>
          <w:tcPr>
            <w:tcW w:w="4817"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五星</w:t>
            </w:r>
          </w:p>
        </w:tc>
        <w:tc>
          <w:tcPr>
            <w:tcW w:w="2629" w:type="dxa"/>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-15%（下浮）</w:t>
            </w:r>
          </w:p>
        </w:tc>
      </w:tr>
    </w:tbl>
    <w:p>
      <w:pPr>
        <w:spacing w:line="360" w:lineRule="auto"/>
        <w:ind w:firstLine="643" w:firstLineChars="200"/>
        <w:rPr>
          <w:rFonts w:hint="default" w:ascii="Times New Roman" w:hAnsi="Times New Roman" w:eastAsia="仿宋_GB2312" w:cs="Times New Roman"/>
          <w:b/>
          <w:bCs/>
          <w:sz w:val="32"/>
          <w:szCs w:val="32"/>
        </w:rPr>
      </w:pPr>
    </w:p>
    <w:p>
      <w:pPr>
        <w:spacing w:line="360" w:lineRule="auto"/>
        <w:ind w:firstLine="643"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（3）赔付率调整因子（仅适用于续保）</w:t>
      </w:r>
    </w:p>
    <w:tbl>
      <w:tblPr>
        <w:tblStyle w:val="3"/>
        <w:tblW w:w="8107" w:type="dxa"/>
        <w:jc w:val="center"/>
        <w:tblInd w:w="0" w:type="dxa"/>
        <w:tblLayout w:type="fixed"/>
        <w:tblCellMar>
          <w:top w:w="0" w:type="dxa"/>
          <w:left w:w="108" w:type="dxa"/>
          <w:bottom w:w="0" w:type="dxa"/>
          <w:right w:w="108" w:type="dxa"/>
        </w:tblCellMar>
      </w:tblPr>
      <w:tblGrid>
        <w:gridCol w:w="822"/>
        <w:gridCol w:w="4800"/>
        <w:gridCol w:w="2485"/>
      </w:tblGrid>
      <w:tr>
        <w:tblPrEx>
          <w:tblLayout w:type="fixed"/>
          <w:tblCellMar>
            <w:top w:w="0" w:type="dxa"/>
            <w:left w:w="108" w:type="dxa"/>
            <w:bottom w:w="0" w:type="dxa"/>
            <w:right w:w="108" w:type="dxa"/>
          </w:tblCellMar>
        </w:tblPrEx>
        <w:trPr>
          <w:trHeight w:val="510" w:hRule="atLeast"/>
          <w:jc w:val="center"/>
        </w:trPr>
        <w:tc>
          <w:tcPr>
            <w:tcW w:w="822" w:type="dxa"/>
            <w:tcBorders>
              <w:top w:val="single" w:color="000000" w:sz="6" w:space="0"/>
              <w:left w:val="single" w:color="000000" w:sz="8" w:space="0"/>
              <w:bottom w:val="single" w:color="auto" w:sz="4" w:space="0"/>
              <w:right w:val="single" w:color="000000" w:sz="8" w:space="0"/>
            </w:tcBorders>
            <w:shd w:val="clear" w:color="auto" w:fill="F2F2F2"/>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序号</w:t>
            </w:r>
          </w:p>
        </w:tc>
        <w:tc>
          <w:tcPr>
            <w:tcW w:w="4800" w:type="dxa"/>
            <w:tcBorders>
              <w:top w:val="single" w:color="000000" w:sz="6" w:space="0"/>
              <w:left w:val="nil"/>
              <w:bottom w:val="single" w:color="auto" w:sz="4" w:space="0"/>
              <w:right w:val="single" w:color="000000" w:sz="8" w:space="0"/>
            </w:tcBorders>
            <w:shd w:val="clear" w:color="auto" w:fill="F2F2F2"/>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上年赔付率</w:t>
            </w:r>
          </w:p>
        </w:tc>
        <w:tc>
          <w:tcPr>
            <w:tcW w:w="2485" w:type="dxa"/>
            <w:tcBorders>
              <w:top w:val="single" w:color="000000" w:sz="6" w:space="0"/>
              <w:left w:val="single" w:color="000000" w:sz="6" w:space="0"/>
              <w:bottom w:val="single" w:color="auto" w:sz="4" w:space="0"/>
              <w:right w:val="single" w:color="000000" w:sz="6" w:space="0"/>
            </w:tcBorders>
            <w:shd w:val="clear" w:color="auto" w:fill="F2F2F2"/>
            <w:vAlign w:val="center"/>
          </w:tcPr>
          <w:p>
            <w:pPr>
              <w:jc w:val="center"/>
              <w:rPr>
                <w:rFonts w:hint="eastAsia" w:ascii="黑体" w:hAnsi="黑体" w:eastAsia="黑体" w:cs="黑体"/>
                <w:b w:val="0"/>
                <w:bCs w:val="0"/>
                <w:sz w:val="28"/>
                <w:szCs w:val="28"/>
              </w:rPr>
            </w:pPr>
            <w:r>
              <w:rPr>
                <w:rFonts w:hint="eastAsia" w:ascii="黑体" w:hAnsi="黑体" w:eastAsia="黑体" w:cs="黑体"/>
                <w:b w:val="0"/>
                <w:bCs w:val="0"/>
                <w:sz w:val="28"/>
                <w:szCs w:val="28"/>
              </w:rPr>
              <w:t>浮动比例</w:t>
            </w:r>
          </w:p>
        </w:tc>
      </w:tr>
      <w:tr>
        <w:tblPrEx>
          <w:tblLayout w:type="fixed"/>
          <w:tblCellMar>
            <w:top w:w="0" w:type="dxa"/>
            <w:left w:w="108" w:type="dxa"/>
            <w:bottom w:w="0" w:type="dxa"/>
            <w:right w:w="108" w:type="dxa"/>
          </w:tblCellMar>
        </w:tblPrEx>
        <w:trPr>
          <w:trHeight w:val="510" w:hRule="atLeast"/>
          <w:jc w:val="center"/>
        </w:trPr>
        <w:tc>
          <w:tcPr>
            <w:tcW w:w="822" w:type="dxa"/>
            <w:tcBorders>
              <w:top w:val="single" w:color="auto" w:sz="4" w:space="0"/>
              <w:left w:val="single" w:color="000000" w:sz="8" w:space="0"/>
              <w:bottom w:val="single" w:color="000000" w:sz="8" w:space="0"/>
              <w:right w:val="single" w:color="000000" w:sz="8"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4800" w:type="dxa"/>
            <w:tcBorders>
              <w:top w:val="single" w:color="auto" w:sz="4" w:space="0"/>
              <w:left w:val="nil"/>
              <w:bottom w:val="single" w:color="000000" w:sz="8" w:space="0"/>
              <w:right w:val="single" w:color="000000" w:sz="8"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200%及以上</w:t>
            </w:r>
          </w:p>
        </w:tc>
        <w:tc>
          <w:tcPr>
            <w:tcW w:w="2485" w:type="dxa"/>
            <w:tcBorders>
              <w:top w:val="single" w:color="auto" w:sz="4" w:space="0"/>
              <w:left w:val="single" w:color="000000" w:sz="6" w:space="0"/>
              <w:bottom w:val="single" w:color="000000" w:sz="8" w:space="0"/>
              <w:right w:val="single" w:color="000000" w:sz="6"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+30%（上浮）</w:t>
            </w:r>
          </w:p>
        </w:tc>
      </w:tr>
      <w:tr>
        <w:tblPrEx>
          <w:tblLayout w:type="fixed"/>
          <w:tblCellMar>
            <w:top w:w="0" w:type="dxa"/>
            <w:left w:w="108" w:type="dxa"/>
            <w:bottom w:w="0" w:type="dxa"/>
            <w:right w:w="108" w:type="dxa"/>
          </w:tblCellMar>
        </w:tblPrEx>
        <w:trPr>
          <w:trHeight w:val="510" w:hRule="atLeast"/>
          <w:jc w:val="center"/>
        </w:trPr>
        <w:tc>
          <w:tcPr>
            <w:tcW w:w="822" w:type="dxa"/>
            <w:tcBorders>
              <w:top w:val="single" w:color="000000" w:sz="6" w:space="0"/>
              <w:left w:val="single" w:color="000000" w:sz="8" w:space="0"/>
              <w:bottom w:val="single" w:color="000000" w:sz="8" w:space="0"/>
              <w:right w:val="single" w:color="000000" w:sz="8"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w:t>
            </w:r>
          </w:p>
        </w:tc>
        <w:tc>
          <w:tcPr>
            <w:tcW w:w="4800" w:type="dxa"/>
            <w:tcBorders>
              <w:top w:val="single" w:color="000000" w:sz="6" w:space="0"/>
              <w:left w:val="nil"/>
              <w:bottom w:val="single" w:color="000000" w:sz="8" w:space="0"/>
              <w:right w:val="single" w:color="000000" w:sz="8"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120%(含)-200%（不含）</w:t>
            </w:r>
          </w:p>
        </w:tc>
        <w:tc>
          <w:tcPr>
            <w:tcW w:w="2485" w:type="dxa"/>
            <w:tcBorders>
              <w:top w:val="single" w:color="000000" w:sz="6" w:space="0"/>
              <w:left w:val="single" w:color="000000" w:sz="6" w:space="0"/>
              <w:bottom w:val="single" w:color="000000" w:sz="8" w:space="0"/>
              <w:right w:val="single" w:color="000000" w:sz="6"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+10%（上浮）</w:t>
            </w:r>
          </w:p>
        </w:tc>
      </w:tr>
      <w:tr>
        <w:tblPrEx>
          <w:tblLayout w:type="fixed"/>
          <w:tblCellMar>
            <w:top w:w="0" w:type="dxa"/>
            <w:left w:w="108" w:type="dxa"/>
            <w:bottom w:w="0" w:type="dxa"/>
            <w:right w:w="108" w:type="dxa"/>
          </w:tblCellMar>
        </w:tblPrEx>
        <w:trPr>
          <w:trHeight w:val="510" w:hRule="atLeast"/>
          <w:jc w:val="center"/>
        </w:trPr>
        <w:tc>
          <w:tcPr>
            <w:tcW w:w="822" w:type="dxa"/>
            <w:tcBorders>
              <w:top w:val="single" w:color="000000" w:sz="6" w:space="0"/>
              <w:left w:val="single" w:color="000000" w:sz="8" w:space="0"/>
              <w:bottom w:val="single" w:color="000000" w:sz="6" w:space="0"/>
              <w:right w:val="single" w:color="000000" w:sz="8"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w:t>
            </w:r>
          </w:p>
        </w:tc>
        <w:tc>
          <w:tcPr>
            <w:tcW w:w="4800" w:type="dxa"/>
            <w:tcBorders>
              <w:top w:val="single" w:color="000000" w:sz="6" w:space="0"/>
              <w:left w:val="nil"/>
              <w:bottom w:val="single" w:color="000000" w:sz="6" w:space="0"/>
              <w:right w:val="single" w:color="000000" w:sz="8"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0%（不含）-120%（不含）</w:t>
            </w:r>
          </w:p>
        </w:tc>
        <w:tc>
          <w:tcPr>
            <w:tcW w:w="2485"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r>
      <w:tr>
        <w:tblPrEx>
          <w:tblLayout w:type="fixed"/>
          <w:tblCellMar>
            <w:top w:w="0" w:type="dxa"/>
            <w:left w:w="108" w:type="dxa"/>
            <w:bottom w:w="0" w:type="dxa"/>
            <w:right w:w="108" w:type="dxa"/>
          </w:tblCellMar>
        </w:tblPrEx>
        <w:trPr>
          <w:trHeight w:val="510" w:hRule="atLeast"/>
          <w:jc w:val="center"/>
        </w:trPr>
        <w:tc>
          <w:tcPr>
            <w:tcW w:w="822" w:type="dxa"/>
            <w:tcBorders>
              <w:top w:val="single" w:color="000000" w:sz="6" w:space="0"/>
              <w:left w:val="single" w:color="000000" w:sz="8" w:space="0"/>
              <w:bottom w:val="single" w:color="000000" w:sz="6" w:space="0"/>
              <w:right w:val="single" w:color="000000" w:sz="8"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p>
        </w:tc>
        <w:tc>
          <w:tcPr>
            <w:tcW w:w="4800" w:type="dxa"/>
            <w:tcBorders>
              <w:top w:val="single" w:color="000000" w:sz="6" w:space="0"/>
              <w:left w:val="nil"/>
              <w:bottom w:val="single" w:color="000000" w:sz="6" w:space="0"/>
              <w:right w:val="single" w:color="000000" w:sz="8"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0%</w:t>
            </w:r>
          </w:p>
        </w:tc>
        <w:tc>
          <w:tcPr>
            <w:tcW w:w="2485" w:type="dxa"/>
            <w:tcBorders>
              <w:top w:val="single" w:color="000000" w:sz="6" w:space="0"/>
              <w:left w:val="single" w:color="000000" w:sz="6" w:space="0"/>
              <w:bottom w:val="single" w:color="000000" w:sz="6" w:space="0"/>
              <w:right w:val="single" w:color="000000" w:sz="6" w:space="0"/>
            </w:tcBorders>
            <w:vAlign w:val="center"/>
          </w:tcPr>
          <w:p>
            <w:pPr>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-10%（下浮）</w:t>
            </w:r>
          </w:p>
        </w:tc>
      </w:tr>
    </w:tbl>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注：1、本调整因子仅适用于续保；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上年赔付率=（上年度已决赔款金额+上年度未决赔款金额）/上年度保险费*100%；其中上年度已决赔款金额指上年度已结案件的赔款金额（需要扣除通过追偿追回的赔款），上年度未决赔款金额是指广东省养老机构综合责任保险事故赔偿处理中心或事故鉴定委员会确定的案件估损金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eastAsia" w:ascii="Times New Roman" w:hAnsi="Times New Roman" w:cs="Times New Roman"/>
          <w:sz w:val="28"/>
          <w:szCs w:val="28"/>
          <w:lang w:val="en-US" w:eastAsia="zh-CN"/>
        </w:rPr>
        <w:t>3、</w:t>
      </w:r>
      <w:r>
        <w:rPr>
          <w:rFonts w:hint="default" w:ascii="Times New Roman" w:hAnsi="Times New Roman" w:eastAsia="仿宋_GB2312" w:cs="Times New Roman"/>
          <w:sz w:val="28"/>
          <w:szCs w:val="28"/>
        </w:rPr>
        <w:t>保险费计算公式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560" w:firstLineChars="20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总保险费 = 基础保费 *（1 + 住养老人医疗费用限额调整因子）  *（1 + 星级评定调整因子） *（1 + 赔付率调整因子）+雇主责任险扩展24小时意外险保险费（可选）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 w:cs="Times New Roman"/>
          <w:b/>
          <w:bCs/>
        </w:rPr>
      </w:pP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14201"/>
    <w:rsid w:val="0E4B3DFA"/>
    <w:rsid w:val="37014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2021-03-12T00:45:00Z</dcterms:created>
  <dc:creator>许桂烁</dc:creator>
  <cp:lastModifiedBy>许桂烁</cp:lastModifiedBy>
  <dcterms:modified xsi:type="dcterms:W3CDTF">2021-03-12T00:45:09Z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