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广东省民政厅2020年重大行政决策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计划事项目录</w:t>
      </w:r>
    </w:p>
    <w:tbl>
      <w:tblPr>
        <w:tblStyle w:val="4"/>
        <w:tblW w:w="9152" w:type="dxa"/>
        <w:jc w:val="center"/>
        <w:tblInd w:w="-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4767"/>
        <w:gridCol w:w="1233"/>
        <w:gridCol w:w="118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决策事项名称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承办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部门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是否计划听证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是否计划专家论证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5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广东省社会救助综合改革方案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社救处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广东省低收入家庭认定实施办法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社救处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5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报请省政府修订《广东省农村五保供养工作规定》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社救处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修订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《广东省村民委员会选举办法》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政权处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5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《广东省殡葬事业发展“十四五”规划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》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事务处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5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《广东省公墓建设总体规划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2021-2030年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》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事务处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5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拟报请省政府修订《广东省民政厅关于异地商会登记的管理办法》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eastAsia="zh-CN"/>
              </w:rPr>
              <w:t>社管局登记处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5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eastAsia="zh-CN"/>
              </w:rPr>
              <w:t>编制《广东省城乡社区服务体系“十四五”规划》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eastAsia="zh-CN"/>
              </w:rPr>
              <w:t>政权处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5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val="en-US" w:eastAsia="zh-CN"/>
              </w:rPr>
              <w:t>会同省外事部门出台《社会组织涉外活动管理办法》或《社会组织涉外活动指引》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eastAsia="zh-CN"/>
              </w:rPr>
              <w:t>社管局监管处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exact"/>
          <w:jc w:val="center"/>
        </w:trPr>
        <w:tc>
          <w:tcPr>
            <w:tcW w:w="5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7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val="en-US" w:eastAsia="zh-CN"/>
              </w:rPr>
              <w:t>修订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《广东省</w:t>
            </w: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val="en-US" w:eastAsia="zh-CN"/>
              </w:rPr>
              <w:t>民政厅关于社会组织法人治理的指导意见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》</w:t>
            </w: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val="en-US" w:eastAsia="zh-CN"/>
              </w:rPr>
              <w:t>《广东省社会团体法人治理结构与治理规则》《广东省基金会法人治理结构与治理规则》《广东省民办非企业单位法人治理结构与治理规则》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eastAsia="zh-CN"/>
              </w:rPr>
              <w:t>社管局监管处</w:t>
            </w:r>
          </w:p>
        </w:tc>
        <w:tc>
          <w:tcPr>
            <w:tcW w:w="11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51780"/>
    <w:rsid w:val="5AA5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2020-02-20T03:26:00Z</dcterms:created>
  <dc:creator>许桂烁</dc:creator>
  <cp:lastModifiedBy>许桂烁</cp:lastModifiedBy>
  <dcterms:modified xsi:type="dcterms:W3CDTF">2020-02-20T03:26:17Z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