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8"/>
        </w:tabs>
        <w:spacing w:before="15"/>
        <w:ind w:left="156" w:leftChars="71" w:firstLine="3360" w:firstLineChars="1600"/>
        <w:rPr>
          <w:rFonts w:ascii="黑体" w:hAnsi="黑体" w:eastAsia="黑体"/>
          <w:b/>
          <w:sz w:val="21"/>
          <w:szCs w:val="21"/>
        </w:rPr>
      </w:pPr>
      <w:r>
        <w:rPr>
          <w:rFonts w:ascii="黑体" w:hAnsi="黑体" w:eastAsia="黑体"/>
          <w:sz w:val="21"/>
        </w:rPr>
        <w:t>I</w:t>
      </w:r>
      <w:r>
        <w:rPr>
          <w:rFonts w:ascii="黑体" w:hAnsi="黑体" w:eastAsia="黑体"/>
          <w:b/>
          <w:sz w:val="21"/>
          <w:lang w:eastAsia="zh-CN"/>
        </w:rPr>
        <w:t>I</w:t>
      </w:r>
      <w:r>
        <w:rPr>
          <w:rFonts w:ascii="黑体" w:hAnsi="黑体" w:eastAsia="黑体"/>
          <w:b/>
          <w:sz w:val="21"/>
        </w:rPr>
        <w:t>CS XXXXXX</w:t>
      </w:r>
      <w:r>
        <w:rPr>
          <w:rFonts w:ascii="黑体" w:hAnsi="黑体" w:eastAsia="黑体"/>
          <w:b/>
          <w:sz w:val="21"/>
        </w:rPr>
        <w:tab/>
      </w:r>
    </w:p>
    <w:p>
      <w:pPr>
        <w:tabs>
          <w:tab w:val="left" w:pos="473"/>
        </w:tabs>
        <w:spacing w:before="37" w:line="173" w:lineRule="exact"/>
        <w:ind w:left="156"/>
        <w:rPr>
          <w:rFonts w:ascii="黑体" w:hAnsi="黑体" w:eastAsia="黑体"/>
          <w:b/>
          <w:sz w:val="21"/>
          <w:szCs w:val="21"/>
        </w:rPr>
      </w:pPr>
      <w:r>
        <w:rPr>
          <w:rFonts w:ascii="黑体" w:hAnsi="黑体" w:eastAsia="黑体"/>
          <w:b/>
          <w:sz w:val="21"/>
        </w:rPr>
        <w:t>X</w:t>
      </w:r>
      <w:r>
        <w:rPr>
          <w:rFonts w:ascii="黑体" w:hAnsi="黑体" w:eastAsia="黑体"/>
          <w:b/>
          <w:sz w:val="21"/>
        </w:rPr>
        <w:tab/>
      </w:r>
      <w:r>
        <w:rPr>
          <w:rFonts w:ascii="黑体" w:hAnsi="黑体" w:eastAsia="黑体"/>
          <w:b/>
          <w:sz w:val="21"/>
        </w:rPr>
        <w:t>XX</w:t>
      </w:r>
    </w:p>
    <w:p>
      <w:pPr>
        <w:pStyle w:val="64"/>
        <w:rPr>
          <w:rFonts w:eastAsia="黑体"/>
          <w:lang w:eastAsia="zh-CN"/>
        </w:rPr>
      </w:pPr>
      <w:r>
        <w:rPr>
          <w:rFonts w:eastAsia="黑体"/>
          <w:lang w:eastAsia="zh-CN"/>
        </w:rPr>
        <w:t>DB</w:t>
      </w:r>
      <w:r>
        <w:rPr>
          <w:rFonts w:hint="eastAsia" w:eastAsia="黑体"/>
          <w:lang w:eastAsia="zh-CN"/>
        </w:rPr>
        <w:t>44</w:t>
      </w:r>
    </w:p>
    <w:p>
      <w:pPr>
        <w:spacing w:before="7"/>
        <w:rPr>
          <w:b/>
          <w:bCs/>
          <w:sz w:val="18"/>
          <w:szCs w:val="18"/>
          <w:lang w:eastAsia="zh-CN"/>
        </w:rPr>
      </w:pPr>
    </w:p>
    <w:tbl>
      <w:tblPr>
        <w:tblStyle w:val="24"/>
        <w:tblW w:w="9793" w:type="dxa"/>
        <w:tblInd w:w="102" w:type="dxa"/>
        <w:tblLayout w:type="fixed"/>
        <w:tblCellMar>
          <w:top w:w="0" w:type="dxa"/>
          <w:left w:w="0" w:type="dxa"/>
          <w:bottom w:w="0" w:type="dxa"/>
          <w:right w:w="0" w:type="dxa"/>
        </w:tblCellMar>
      </w:tblPr>
      <w:tblGrid>
        <w:gridCol w:w="1043"/>
        <w:gridCol w:w="1493"/>
        <w:gridCol w:w="1493"/>
        <w:gridCol w:w="1493"/>
        <w:gridCol w:w="1039"/>
        <w:gridCol w:w="284"/>
        <w:gridCol w:w="991"/>
        <w:gridCol w:w="537"/>
        <w:gridCol w:w="883"/>
        <w:gridCol w:w="537"/>
      </w:tblGrid>
      <w:tr>
        <w:tblPrEx>
          <w:tblLayout w:type="fixed"/>
          <w:tblCellMar>
            <w:top w:w="0" w:type="dxa"/>
            <w:left w:w="0" w:type="dxa"/>
            <w:bottom w:w="0" w:type="dxa"/>
            <w:right w:w="0" w:type="dxa"/>
          </w:tblCellMar>
        </w:tblPrEx>
        <w:trPr>
          <w:trHeight w:val="787" w:hRule="exact"/>
        </w:trPr>
        <w:tc>
          <w:tcPr>
            <w:tcW w:w="1043" w:type="dxa"/>
            <w:tcBorders>
              <w:top w:val="nil"/>
              <w:left w:val="nil"/>
              <w:bottom w:val="nil"/>
              <w:right w:val="nil"/>
            </w:tcBorders>
          </w:tcPr>
          <w:p>
            <w:pPr>
              <w:spacing w:line="240" w:lineRule="atLeast"/>
              <w:jc w:val="center"/>
              <w:rPr>
                <w:rFonts w:ascii="黑体" w:hAnsi="黑体" w:eastAsia="黑体" w:cs="黑体"/>
                <w:sz w:val="52"/>
                <w:szCs w:val="52"/>
              </w:rPr>
            </w:pPr>
            <w:r>
              <w:rPr>
                <w:rFonts w:ascii="黑体" w:hAnsi="黑体" w:eastAsia="黑体" w:cs="黑体"/>
                <w:sz w:val="52"/>
                <w:szCs w:val="52"/>
              </w:rPr>
              <w:t>广</w:t>
            </w:r>
          </w:p>
        </w:tc>
        <w:tc>
          <w:tcPr>
            <w:tcW w:w="1493" w:type="dxa"/>
            <w:tcBorders>
              <w:top w:val="nil"/>
              <w:left w:val="nil"/>
              <w:bottom w:val="nil"/>
              <w:right w:val="nil"/>
            </w:tcBorders>
          </w:tcPr>
          <w:p>
            <w:pPr>
              <w:spacing w:line="240" w:lineRule="atLeast"/>
              <w:jc w:val="center"/>
              <w:rPr>
                <w:rFonts w:ascii="黑体" w:hAnsi="黑体" w:eastAsia="黑体" w:cs="黑体"/>
                <w:sz w:val="52"/>
                <w:szCs w:val="52"/>
              </w:rPr>
            </w:pPr>
            <w:r>
              <w:rPr>
                <w:rFonts w:hint="eastAsia" w:ascii="黑体" w:hAnsi="黑体" w:eastAsia="黑体" w:cs="黑体"/>
                <w:sz w:val="52"/>
                <w:szCs w:val="52"/>
                <w:lang w:eastAsia="zh-CN"/>
              </w:rPr>
              <w:t>东</w:t>
            </w:r>
          </w:p>
        </w:tc>
        <w:tc>
          <w:tcPr>
            <w:tcW w:w="1493" w:type="dxa"/>
            <w:tcBorders>
              <w:top w:val="nil"/>
              <w:left w:val="nil"/>
              <w:bottom w:val="nil"/>
              <w:right w:val="nil"/>
            </w:tcBorders>
          </w:tcPr>
          <w:p>
            <w:pPr>
              <w:spacing w:line="240" w:lineRule="atLeast"/>
              <w:jc w:val="center"/>
              <w:rPr>
                <w:rFonts w:ascii="黑体" w:hAnsi="黑体" w:eastAsia="黑体" w:cs="黑体"/>
                <w:sz w:val="52"/>
                <w:szCs w:val="52"/>
              </w:rPr>
            </w:pPr>
            <w:r>
              <w:rPr>
                <w:rFonts w:hint="eastAsia" w:ascii="黑体" w:hAnsi="黑体" w:eastAsia="黑体" w:cs="黑体"/>
                <w:sz w:val="52"/>
                <w:szCs w:val="52"/>
                <w:lang w:eastAsia="zh-CN"/>
              </w:rPr>
              <w:t>省</w:t>
            </w:r>
          </w:p>
        </w:tc>
        <w:tc>
          <w:tcPr>
            <w:tcW w:w="1493" w:type="dxa"/>
            <w:tcBorders>
              <w:top w:val="nil"/>
              <w:left w:val="nil"/>
              <w:bottom w:val="nil"/>
              <w:right w:val="nil"/>
            </w:tcBorders>
          </w:tcPr>
          <w:p>
            <w:pPr>
              <w:spacing w:line="240" w:lineRule="atLeast"/>
              <w:jc w:val="center"/>
              <w:rPr>
                <w:rFonts w:ascii="黑体" w:hAnsi="黑体" w:eastAsia="黑体" w:cs="黑体"/>
                <w:sz w:val="52"/>
                <w:szCs w:val="52"/>
              </w:rPr>
            </w:pPr>
            <w:r>
              <w:rPr>
                <w:rFonts w:ascii="黑体" w:hAnsi="黑体" w:eastAsia="黑体" w:cs="黑体"/>
                <w:sz w:val="52"/>
                <w:szCs w:val="52"/>
              </w:rPr>
              <w:t>地</w:t>
            </w:r>
          </w:p>
        </w:tc>
        <w:tc>
          <w:tcPr>
            <w:tcW w:w="1323" w:type="dxa"/>
            <w:gridSpan w:val="2"/>
            <w:tcBorders>
              <w:top w:val="nil"/>
              <w:left w:val="nil"/>
              <w:bottom w:val="nil"/>
              <w:right w:val="nil"/>
            </w:tcBorders>
          </w:tcPr>
          <w:p>
            <w:pPr>
              <w:spacing w:line="240" w:lineRule="atLeast"/>
              <w:jc w:val="center"/>
              <w:rPr>
                <w:rFonts w:ascii="黑体" w:hAnsi="黑体" w:eastAsia="黑体" w:cs="黑体"/>
                <w:sz w:val="52"/>
                <w:szCs w:val="52"/>
              </w:rPr>
            </w:pPr>
            <w:r>
              <w:rPr>
                <w:lang w:eastAsia="zh-CN"/>
              </w:rPr>
              <mc:AlternateContent>
                <mc:Choice Requires="wps">
                  <w:drawing>
                    <wp:anchor distT="0" distB="0" distL="114300" distR="114300" simplePos="0" relativeHeight="251661312" behindDoc="0" locked="0" layoutInCell="1" allowOverlap="1">
                      <wp:simplePos x="0" y="0"/>
                      <wp:positionH relativeFrom="column">
                        <wp:posOffset>602615</wp:posOffset>
                      </wp:positionH>
                      <wp:positionV relativeFrom="paragraph">
                        <wp:posOffset>227330</wp:posOffset>
                      </wp:positionV>
                      <wp:extent cx="2242185" cy="543560"/>
                      <wp:effectExtent l="0" t="0" r="0" b="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2185" cy="543560"/>
                              </a:xfrm>
                              <a:prstGeom prst="rect">
                                <a:avLst/>
                              </a:prstGeom>
                              <a:noFill/>
                              <a:ln>
                                <a:noFill/>
                              </a:ln>
                              <a:effectLst/>
                            </wps:spPr>
                            <wps:txbx>
                              <w:txbxContent>
                                <w:p/>
                                <w:tbl>
                                  <w:tblPr>
                                    <w:tblStyle w:val="24"/>
                                    <w:tblW w:w="9690" w:type="dxa"/>
                                    <w:tblInd w:w="102" w:type="dxa"/>
                                    <w:tblLayout w:type="fixed"/>
                                    <w:tblCellMar>
                                      <w:top w:w="0" w:type="dxa"/>
                                      <w:left w:w="0" w:type="dxa"/>
                                      <w:bottom w:w="0" w:type="dxa"/>
                                      <w:right w:w="0" w:type="dxa"/>
                                    </w:tblCellMar>
                                  </w:tblPr>
                                  <w:tblGrid>
                                    <w:gridCol w:w="5204"/>
                                    <w:gridCol w:w="4486"/>
                                  </w:tblGrid>
                                  <w:tr>
                                    <w:tblPrEx>
                                      <w:tblLayout w:type="fixed"/>
                                      <w:tblCellMar>
                                        <w:top w:w="0" w:type="dxa"/>
                                        <w:left w:w="0" w:type="dxa"/>
                                        <w:bottom w:w="0" w:type="dxa"/>
                                        <w:right w:w="0" w:type="dxa"/>
                                      </w:tblCellMar>
                                    </w:tblPrEx>
                                    <w:trPr>
                                      <w:trHeight w:val="1218" w:hRule="exact"/>
                                    </w:trPr>
                                    <w:tc>
                                      <w:tcPr>
                                        <w:tcW w:w="5204" w:type="dxa"/>
                                        <w:tcBorders>
                                          <w:top w:val="nil"/>
                                          <w:left w:val="nil"/>
                                          <w:bottom w:val="single" w:color="000000" w:sz="6" w:space="0"/>
                                          <w:right w:val="nil"/>
                                        </w:tcBorders>
                                      </w:tcPr>
                                      <w:p>
                                        <w:pPr>
                                          <w:spacing w:before="121" w:line="240" w:lineRule="atLeast"/>
                                          <w:rPr>
                                            <w:rFonts w:ascii="黑体" w:hAnsi="黑体" w:eastAsia="黑体" w:cs="黑体"/>
                                            <w:sz w:val="28"/>
                                            <w:szCs w:val="28"/>
                                            <w:lang w:eastAsia="zh-CN"/>
                                          </w:rPr>
                                        </w:pPr>
                                        <w:r>
                                          <w:rPr>
                                            <w:rFonts w:ascii="黑体"/>
                                            <w:sz w:val="28"/>
                                          </w:rPr>
                                          <w:t>DB</w:t>
                                        </w:r>
                                        <w:r>
                                          <w:rPr>
                                            <w:rFonts w:hint="eastAsia" w:ascii="黑体"/>
                                            <w:sz w:val="28"/>
                                            <w:lang w:eastAsia="zh-CN"/>
                                          </w:rPr>
                                          <w:t>44</w:t>
                                        </w:r>
                                        <w:r>
                                          <w:rPr>
                                            <w:rFonts w:ascii="黑体"/>
                                            <w:sz w:val="28"/>
                                          </w:rPr>
                                          <w:t>/T</w:t>
                                        </w:r>
                                        <w:r>
                                          <w:rPr>
                                            <w:rFonts w:hint="eastAsia" w:ascii="黑体"/>
                                            <w:sz w:val="28"/>
                                            <w:lang w:eastAsia="zh-CN"/>
                                          </w:rPr>
                                          <w:t xml:space="preserve">   XXX</w:t>
                                        </w:r>
                                        <w:r>
                                          <w:rPr>
                                            <w:rFonts w:ascii="黑体" w:hAnsi="黑体" w:eastAsia="黑体" w:cs="黑体"/>
                                            <w:sz w:val="28"/>
                                            <w:szCs w:val="28"/>
                                          </w:rPr>
                                          <w:t>—XXXX</w:t>
                                        </w:r>
                                      </w:p>
                                    </w:tc>
                                    <w:tc>
                                      <w:tcPr>
                                        <w:tcW w:w="4486" w:type="dxa"/>
                                        <w:tcBorders>
                                          <w:top w:val="nil"/>
                                          <w:left w:val="nil"/>
                                          <w:bottom w:val="single" w:color="000000" w:sz="6" w:space="0"/>
                                          <w:right w:val="nil"/>
                                        </w:tcBorders>
                                      </w:tcPr>
                                      <w:p>
                                        <w:pPr>
                                          <w:spacing w:before="121"/>
                                          <w:rPr>
                                            <w:rFonts w:ascii="黑体" w:hAnsi="黑体" w:eastAsia="黑体" w:cs="黑体"/>
                                            <w:sz w:val="28"/>
                                            <w:szCs w:val="28"/>
                                          </w:rPr>
                                        </w:pPr>
                                        <w:r>
                                          <w:rPr>
                                            <w:rFonts w:ascii="黑体" w:hAnsi="黑体" w:eastAsia="黑体" w:cs="黑体"/>
                                            <w:sz w:val="28"/>
                                            <w:szCs w:val="28"/>
                                          </w:rPr>
                                          <w:t>XXX—XXXX</w:t>
                                        </w:r>
                                      </w:p>
                                    </w:tc>
                                  </w:tr>
                                </w:tbl>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47.45pt;margin-top:17.9pt;height:42.8pt;width:176.55pt;z-index:251661312;mso-width-relative:page;mso-height-relative:page;" filled="f" stroked="f" coordsize="21600,21600" o:gfxdata="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YFLDWAAAACQEAAA8AAAAAAAAAAQAgAAAAIgAAAGRycy9kb3du&#10;cmV2LnhtbFBLAQIUABQAAAAIAIdO4kC21OLSAQIAANUDAAAOAAAAAAAAAAEAIAAAACUBAABkcnMv&#10;ZTJvRG9jLnhtbFBLBQYAAAAABgAGAFkBAACYBQAAAAA=&#10;">
                      <v:fill on="f" focussize="0,0"/>
                      <v:stroke on="f"/>
                      <v:imagedata o:title=""/>
                      <o:lock v:ext="edit" aspectratio="f"/>
                      <v:textbox>
                        <w:txbxContent>
                          <w:p/>
                          <w:tbl>
                            <w:tblPr>
                              <w:tblStyle w:val="24"/>
                              <w:tblW w:w="9690" w:type="dxa"/>
                              <w:tblInd w:w="102" w:type="dxa"/>
                              <w:tblLayout w:type="fixed"/>
                              <w:tblCellMar>
                                <w:top w:w="0" w:type="dxa"/>
                                <w:left w:w="0" w:type="dxa"/>
                                <w:bottom w:w="0" w:type="dxa"/>
                                <w:right w:w="0" w:type="dxa"/>
                              </w:tblCellMar>
                            </w:tblPr>
                            <w:tblGrid>
                              <w:gridCol w:w="5204"/>
                              <w:gridCol w:w="4486"/>
                            </w:tblGrid>
                            <w:tr>
                              <w:tblPrEx>
                                <w:tblLayout w:type="fixed"/>
                                <w:tblCellMar>
                                  <w:top w:w="0" w:type="dxa"/>
                                  <w:left w:w="0" w:type="dxa"/>
                                  <w:bottom w:w="0" w:type="dxa"/>
                                  <w:right w:w="0" w:type="dxa"/>
                                </w:tblCellMar>
                              </w:tblPrEx>
                              <w:trPr>
                                <w:trHeight w:val="1218" w:hRule="exact"/>
                              </w:trPr>
                              <w:tc>
                                <w:tcPr>
                                  <w:tcW w:w="5204" w:type="dxa"/>
                                  <w:tcBorders>
                                    <w:top w:val="nil"/>
                                    <w:left w:val="nil"/>
                                    <w:bottom w:val="single" w:color="000000" w:sz="6" w:space="0"/>
                                    <w:right w:val="nil"/>
                                  </w:tcBorders>
                                </w:tcPr>
                                <w:p>
                                  <w:pPr>
                                    <w:spacing w:before="121" w:line="240" w:lineRule="atLeast"/>
                                    <w:rPr>
                                      <w:rFonts w:ascii="黑体" w:hAnsi="黑体" w:eastAsia="黑体" w:cs="黑体"/>
                                      <w:sz w:val="28"/>
                                      <w:szCs w:val="28"/>
                                      <w:lang w:eastAsia="zh-CN"/>
                                    </w:rPr>
                                  </w:pPr>
                                  <w:r>
                                    <w:rPr>
                                      <w:rFonts w:ascii="黑体"/>
                                      <w:sz w:val="28"/>
                                    </w:rPr>
                                    <w:t>DB</w:t>
                                  </w:r>
                                  <w:r>
                                    <w:rPr>
                                      <w:rFonts w:hint="eastAsia" w:ascii="黑体"/>
                                      <w:sz w:val="28"/>
                                      <w:lang w:eastAsia="zh-CN"/>
                                    </w:rPr>
                                    <w:t>44</w:t>
                                  </w:r>
                                  <w:r>
                                    <w:rPr>
                                      <w:rFonts w:ascii="黑体"/>
                                      <w:sz w:val="28"/>
                                    </w:rPr>
                                    <w:t>/T</w:t>
                                  </w:r>
                                  <w:r>
                                    <w:rPr>
                                      <w:rFonts w:hint="eastAsia" w:ascii="黑体"/>
                                      <w:sz w:val="28"/>
                                      <w:lang w:eastAsia="zh-CN"/>
                                    </w:rPr>
                                    <w:t xml:space="preserve">   XXX</w:t>
                                  </w:r>
                                  <w:r>
                                    <w:rPr>
                                      <w:rFonts w:ascii="黑体" w:hAnsi="黑体" w:eastAsia="黑体" w:cs="黑体"/>
                                      <w:sz w:val="28"/>
                                      <w:szCs w:val="28"/>
                                    </w:rPr>
                                    <w:t>—XXXX</w:t>
                                  </w:r>
                                </w:p>
                              </w:tc>
                              <w:tc>
                                <w:tcPr>
                                  <w:tcW w:w="4486" w:type="dxa"/>
                                  <w:tcBorders>
                                    <w:top w:val="nil"/>
                                    <w:left w:val="nil"/>
                                    <w:bottom w:val="single" w:color="000000" w:sz="6" w:space="0"/>
                                    <w:right w:val="nil"/>
                                  </w:tcBorders>
                                </w:tcPr>
                                <w:p>
                                  <w:pPr>
                                    <w:spacing w:before="121"/>
                                    <w:rPr>
                                      <w:rFonts w:ascii="黑体" w:hAnsi="黑体" w:eastAsia="黑体" w:cs="黑体"/>
                                      <w:sz w:val="28"/>
                                      <w:szCs w:val="28"/>
                                    </w:rPr>
                                  </w:pPr>
                                  <w:r>
                                    <w:rPr>
                                      <w:rFonts w:ascii="黑体" w:hAnsi="黑体" w:eastAsia="黑体" w:cs="黑体"/>
                                      <w:sz w:val="28"/>
                                      <w:szCs w:val="28"/>
                                    </w:rPr>
                                    <w:t>XXX—XXXX</w:t>
                                  </w:r>
                                </w:p>
                              </w:tc>
                            </w:tr>
                          </w:tbl>
                          <w:p/>
                        </w:txbxContent>
                      </v:textbox>
                    </v:shape>
                  </w:pict>
                </mc:Fallback>
              </mc:AlternateContent>
            </w:r>
            <w:r>
              <w:rPr>
                <w:rFonts w:ascii="黑体" w:hAnsi="黑体" w:eastAsia="黑体" w:cs="黑体"/>
                <w:sz w:val="52"/>
                <w:szCs w:val="52"/>
              </w:rPr>
              <w:t>方</w:t>
            </w:r>
          </w:p>
        </w:tc>
        <w:tc>
          <w:tcPr>
            <w:tcW w:w="1528" w:type="dxa"/>
            <w:gridSpan w:val="2"/>
            <w:tcBorders>
              <w:top w:val="nil"/>
              <w:left w:val="nil"/>
              <w:bottom w:val="nil"/>
              <w:right w:val="nil"/>
            </w:tcBorders>
          </w:tcPr>
          <w:p>
            <w:pPr>
              <w:spacing w:line="240" w:lineRule="atLeast"/>
              <w:jc w:val="center"/>
              <w:rPr>
                <w:rFonts w:ascii="黑体" w:hAnsi="黑体" w:eastAsia="黑体" w:cs="黑体"/>
                <w:sz w:val="52"/>
                <w:szCs w:val="52"/>
              </w:rPr>
            </w:pPr>
            <w:r>
              <w:rPr>
                <w:rFonts w:ascii="黑体" w:hAnsi="黑体" w:eastAsia="黑体" w:cs="黑体"/>
                <w:sz w:val="52"/>
                <w:szCs w:val="52"/>
              </w:rPr>
              <w:t>标</w:t>
            </w:r>
          </w:p>
        </w:tc>
        <w:tc>
          <w:tcPr>
            <w:tcW w:w="1420" w:type="dxa"/>
            <w:gridSpan w:val="2"/>
            <w:tcBorders>
              <w:top w:val="nil"/>
              <w:left w:val="nil"/>
              <w:bottom w:val="nil"/>
              <w:right w:val="nil"/>
            </w:tcBorders>
          </w:tcPr>
          <w:p>
            <w:pPr>
              <w:spacing w:line="240" w:lineRule="atLeast"/>
              <w:jc w:val="center"/>
              <w:rPr>
                <w:rFonts w:ascii="黑体" w:hAnsi="黑体" w:eastAsia="黑体" w:cs="黑体"/>
                <w:sz w:val="52"/>
                <w:szCs w:val="52"/>
              </w:rPr>
            </w:pPr>
            <w:r>
              <w:rPr>
                <w:rFonts w:ascii="黑体" w:hAnsi="黑体" w:eastAsia="黑体" w:cs="黑体"/>
                <w:sz w:val="52"/>
                <w:szCs w:val="52"/>
              </w:rPr>
              <w:t>准</w:t>
            </w:r>
          </w:p>
        </w:tc>
      </w:tr>
      <w:tr>
        <w:tblPrEx>
          <w:tblLayout w:type="fixed"/>
          <w:tblCellMar>
            <w:top w:w="0" w:type="dxa"/>
            <w:left w:w="0" w:type="dxa"/>
            <w:bottom w:w="0" w:type="dxa"/>
            <w:right w:w="0" w:type="dxa"/>
          </w:tblCellMar>
        </w:tblPrEx>
        <w:trPr>
          <w:gridAfter w:val="1"/>
          <w:wAfter w:w="537" w:type="dxa"/>
          <w:trHeight w:val="1218" w:hRule="exact"/>
        </w:trPr>
        <w:tc>
          <w:tcPr>
            <w:tcW w:w="1043" w:type="dxa"/>
            <w:tcBorders>
              <w:top w:val="nil"/>
              <w:left w:val="nil"/>
              <w:bottom w:val="single" w:color="000000" w:sz="6" w:space="0"/>
              <w:right w:val="nil"/>
            </w:tcBorders>
          </w:tcPr>
          <w:p/>
        </w:tc>
        <w:tc>
          <w:tcPr>
            <w:tcW w:w="1493" w:type="dxa"/>
            <w:tcBorders>
              <w:top w:val="nil"/>
              <w:left w:val="nil"/>
              <w:bottom w:val="single" w:color="000000" w:sz="6" w:space="0"/>
              <w:right w:val="nil"/>
            </w:tcBorders>
          </w:tcPr>
          <w:p/>
        </w:tc>
        <w:tc>
          <w:tcPr>
            <w:tcW w:w="1493" w:type="dxa"/>
            <w:tcBorders>
              <w:top w:val="nil"/>
              <w:left w:val="nil"/>
              <w:bottom w:val="single" w:color="000000" w:sz="6" w:space="0"/>
              <w:right w:val="nil"/>
            </w:tcBorders>
          </w:tcPr>
          <w:p/>
        </w:tc>
        <w:tc>
          <w:tcPr>
            <w:tcW w:w="1493" w:type="dxa"/>
            <w:tcBorders>
              <w:top w:val="nil"/>
              <w:left w:val="nil"/>
              <w:bottom w:val="single" w:color="000000" w:sz="6" w:space="0"/>
              <w:right w:val="nil"/>
            </w:tcBorders>
          </w:tcPr>
          <w:p/>
        </w:tc>
        <w:tc>
          <w:tcPr>
            <w:tcW w:w="1039" w:type="dxa"/>
            <w:tcBorders>
              <w:top w:val="nil"/>
              <w:left w:val="nil"/>
              <w:bottom w:val="single" w:color="000000" w:sz="6" w:space="0"/>
              <w:right w:val="nil"/>
            </w:tcBorders>
          </w:tcPr>
          <w:p>
            <w:pPr>
              <w:rPr>
                <w:lang w:eastAsia="zh-CN"/>
              </w:rPr>
            </w:pPr>
          </w:p>
        </w:tc>
        <w:tc>
          <w:tcPr>
            <w:tcW w:w="1275" w:type="dxa"/>
            <w:gridSpan w:val="2"/>
            <w:tcBorders>
              <w:top w:val="nil"/>
              <w:left w:val="nil"/>
              <w:bottom w:val="single" w:color="000000" w:sz="6" w:space="0"/>
              <w:right w:val="nil"/>
            </w:tcBorders>
          </w:tcPr>
          <w:p>
            <w:pPr>
              <w:spacing w:before="121"/>
              <w:ind w:left="-141" w:leftChars="-64" w:right="141" w:rightChars="64" w:firstLine="179" w:firstLineChars="64"/>
              <w:rPr>
                <w:rFonts w:ascii="黑体" w:hAnsi="黑体" w:eastAsia="黑体" w:cs="黑体"/>
                <w:sz w:val="28"/>
                <w:szCs w:val="28"/>
              </w:rPr>
            </w:pPr>
          </w:p>
        </w:tc>
        <w:tc>
          <w:tcPr>
            <w:tcW w:w="1420" w:type="dxa"/>
            <w:gridSpan w:val="2"/>
            <w:tcBorders>
              <w:top w:val="nil"/>
              <w:left w:val="nil"/>
              <w:bottom w:val="single" w:color="000000" w:sz="6" w:space="0"/>
              <w:right w:val="nil"/>
            </w:tcBorders>
          </w:tcPr>
          <w:p>
            <w:pPr>
              <w:spacing w:before="121"/>
              <w:ind w:left="-141" w:leftChars="-64" w:right="141" w:rightChars="64" w:firstLine="179" w:firstLineChars="64"/>
              <w:rPr>
                <w:rFonts w:ascii="黑体" w:hAnsi="黑体" w:eastAsia="黑体" w:cs="黑体"/>
                <w:sz w:val="28"/>
                <w:szCs w:val="28"/>
              </w:rPr>
            </w:pPr>
          </w:p>
        </w:tc>
      </w:tr>
    </w:tbl>
    <w:p>
      <w:pPr>
        <w:rPr>
          <w:rFonts w:eastAsia="Times New Roman"/>
          <w:b/>
          <w:bCs/>
          <w:sz w:val="20"/>
          <w:szCs w:val="20"/>
        </w:rPr>
      </w:pPr>
    </w:p>
    <w:p>
      <w:pPr>
        <w:rPr>
          <w:rFonts w:eastAsia="Times New Roman"/>
          <w:b/>
          <w:bCs/>
          <w:sz w:val="20"/>
          <w:szCs w:val="20"/>
        </w:rPr>
      </w:pPr>
    </w:p>
    <w:p>
      <w:pPr>
        <w:rPr>
          <w:rFonts w:eastAsia="Times New Roman"/>
          <w:b/>
          <w:bCs/>
          <w:sz w:val="20"/>
          <w:szCs w:val="20"/>
        </w:rPr>
      </w:pPr>
    </w:p>
    <w:p>
      <w:pPr>
        <w:rPr>
          <w:b/>
          <w:bCs/>
          <w:sz w:val="20"/>
          <w:szCs w:val="20"/>
          <w:lang w:eastAsia="zh-CN"/>
        </w:rPr>
      </w:pPr>
    </w:p>
    <w:p>
      <w:pPr>
        <w:rPr>
          <w:rFonts w:eastAsia="Times New Roman"/>
          <w:b/>
          <w:bCs/>
          <w:sz w:val="20"/>
          <w:szCs w:val="20"/>
        </w:rPr>
      </w:pPr>
    </w:p>
    <w:p>
      <w:pPr>
        <w:rPr>
          <w:rFonts w:eastAsia="Times New Roman"/>
          <w:b/>
          <w:bCs/>
          <w:sz w:val="20"/>
          <w:szCs w:val="20"/>
          <w:lang w:eastAsia="zh-CN"/>
        </w:rPr>
      </w:pPr>
    </w:p>
    <w:p>
      <w:pPr>
        <w:rPr>
          <w:rFonts w:eastAsia="Times New Roman"/>
          <w:b/>
          <w:bCs/>
          <w:sz w:val="20"/>
          <w:szCs w:val="20"/>
        </w:rPr>
      </w:pPr>
    </w:p>
    <w:p>
      <w:pPr>
        <w:rPr>
          <w:rFonts w:eastAsia="Times New Roman"/>
          <w:b/>
          <w:bCs/>
          <w:sz w:val="20"/>
          <w:szCs w:val="20"/>
        </w:rPr>
      </w:pPr>
    </w:p>
    <w:p>
      <w:pPr>
        <w:spacing w:before="11"/>
        <w:rPr>
          <w:rFonts w:eastAsia="Times New Roman"/>
          <w:b/>
          <w:bCs/>
          <w:sz w:val="23"/>
          <w:szCs w:val="23"/>
        </w:rPr>
      </w:pPr>
    </w:p>
    <w:p>
      <w:pPr>
        <w:jc w:val="center"/>
        <w:rPr>
          <w:rFonts w:ascii="黑体" w:hAnsi="黑体" w:eastAsia="黑体" w:cs="黑体"/>
          <w:sz w:val="52"/>
          <w:szCs w:val="52"/>
          <w:lang w:eastAsia="zh-CN"/>
        </w:rPr>
      </w:pPr>
      <w:r>
        <w:rPr>
          <w:rFonts w:ascii="黑体" w:hAnsi="黑体" w:eastAsia="黑体" w:cs="黑体"/>
          <w:sz w:val="52"/>
          <w:szCs w:val="52"/>
          <w:lang w:eastAsia="zh-CN"/>
        </w:rPr>
        <w:t>社会组织能力建设指南</w:t>
      </w:r>
    </w:p>
    <w:p>
      <w:pPr>
        <w:spacing w:line="680" w:lineRule="exact"/>
        <w:jc w:val="center"/>
        <w:rPr>
          <w:rFonts w:ascii="黑体" w:hAnsi="黑体" w:eastAsia="黑体" w:cs="黑体"/>
          <w:sz w:val="28"/>
          <w:szCs w:val="28"/>
        </w:rPr>
      </w:pPr>
      <w:r>
        <w:rPr>
          <w:rFonts w:ascii="黑体"/>
          <w:sz w:val="28"/>
          <w:lang w:eastAsia="zh-CN"/>
        </w:rPr>
        <w:t>Capacity</w:t>
      </w:r>
      <w:r>
        <w:rPr>
          <w:rFonts w:hint="eastAsia" w:ascii="黑体"/>
          <w:sz w:val="28"/>
          <w:lang w:eastAsia="zh-CN"/>
        </w:rPr>
        <w:t xml:space="preserve"> building guideline for </w:t>
      </w:r>
      <w:r>
        <w:rPr>
          <w:rFonts w:ascii="黑体"/>
          <w:sz w:val="28"/>
          <w:lang w:eastAsia="zh-CN"/>
        </w:rPr>
        <w:t>social organization</w:t>
      </w:r>
    </w:p>
    <w:p>
      <w:pPr>
        <w:rPr>
          <w:rFonts w:ascii="黑体" w:hAnsi="黑体" w:eastAsia="黑体" w:cs="黑体"/>
          <w:sz w:val="28"/>
          <w:szCs w:val="28"/>
        </w:rPr>
      </w:pPr>
    </w:p>
    <w:p>
      <w:pPr>
        <w:jc w:val="center"/>
        <w:rPr>
          <w:rFonts w:ascii="黑体" w:hAnsi="黑体" w:eastAsia="黑体" w:cs="黑体"/>
          <w:sz w:val="28"/>
          <w:szCs w:val="28"/>
          <w:lang w:eastAsia="zh-CN"/>
        </w:rPr>
      </w:pPr>
      <w:r>
        <w:rPr>
          <w:rFonts w:hint="eastAsia" w:ascii="黑体" w:hAnsi="黑体" w:eastAsia="黑体" w:cs="黑体"/>
          <w:sz w:val="28"/>
          <w:szCs w:val="28"/>
          <w:lang w:eastAsia="zh-CN"/>
        </w:rPr>
        <w:t>（征求意见稿）</w:t>
      </w:r>
    </w:p>
    <w:p>
      <w:pPr>
        <w:rPr>
          <w:rFonts w:ascii="黑体" w:hAnsi="黑体" w:eastAsia="黑体" w:cs="黑体"/>
          <w:sz w:val="36"/>
          <w:szCs w:val="36"/>
          <w:lang w:eastAsia="zh-CN"/>
        </w:rPr>
      </w:pPr>
    </w:p>
    <w:p>
      <w:pPr>
        <w:rPr>
          <w:rFonts w:ascii="黑体" w:hAnsi="黑体" w:eastAsia="黑体" w:cs="黑体"/>
          <w:sz w:val="28"/>
          <w:szCs w:val="28"/>
          <w:lang w:eastAsia="zh-CN"/>
        </w:rPr>
      </w:pPr>
    </w:p>
    <w:p>
      <w:pPr>
        <w:rPr>
          <w:rFonts w:ascii="黑体" w:hAnsi="黑体" w:eastAsia="黑体" w:cs="黑体"/>
          <w:sz w:val="28"/>
          <w:szCs w:val="28"/>
          <w:lang w:eastAsia="zh-CN"/>
        </w:rPr>
      </w:pPr>
    </w:p>
    <w:p>
      <w:pPr>
        <w:rPr>
          <w:rFonts w:ascii="黑体" w:hAnsi="黑体" w:eastAsia="黑体" w:cs="黑体"/>
          <w:sz w:val="28"/>
          <w:szCs w:val="28"/>
          <w:lang w:eastAsia="zh-CN"/>
        </w:rPr>
      </w:pPr>
    </w:p>
    <w:p>
      <w:pPr>
        <w:rPr>
          <w:rFonts w:ascii="黑体" w:hAnsi="黑体" w:eastAsia="黑体" w:cs="黑体"/>
          <w:sz w:val="28"/>
          <w:szCs w:val="28"/>
          <w:lang w:eastAsia="zh-CN"/>
        </w:rPr>
      </w:pPr>
    </w:p>
    <w:p>
      <w:pPr>
        <w:rPr>
          <w:rFonts w:ascii="黑体" w:hAnsi="黑体" w:eastAsia="黑体" w:cs="黑体"/>
          <w:sz w:val="28"/>
          <w:szCs w:val="28"/>
          <w:lang w:eastAsia="zh-CN"/>
        </w:rPr>
      </w:pPr>
    </w:p>
    <w:p>
      <w:pPr>
        <w:tabs>
          <w:tab w:val="left" w:pos="6254"/>
        </w:tabs>
        <w:rPr>
          <w:rFonts w:ascii="黑体" w:hAnsi="黑体" w:eastAsia="黑体" w:cs="黑体"/>
          <w:sz w:val="28"/>
          <w:szCs w:val="28"/>
          <w:lang w:eastAsia="zh-CN"/>
        </w:rPr>
      </w:pPr>
    </w:p>
    <w:p>
      <w:pPr>
        <w:tabs>
          <w:tab w:val="left" w:pos="6254"/>
        </w:tabs>
        <w:rPr>
          <w:rFonts w:ascii="黑体" w:hAnsi="黑体" w:eastAsia="黑体" w:cs="黑体"/>
          <w:sz w:val="28"/>
          <w:szCs w:val="28"/>
          <w:lang w:eastAsia="zh-CN"/>
        </w:rPr>
      </w:pPr>
    </w:p>
    <w:p>
      <w:pPr>
        <w:tabs>
          <w:tab w:val="left" w:pos="6254"/>
        </w:tabs>
        <w:rPr>
          <w:rFonts w:ascii="黑体" w:hAnsi="黑体" w:eastAsia="黑体" w:cs="黑体"/>
          <w:sz w:val="28"/>
          <w:szCs w:val="28"/>
          <w:lang w:eastAsia="zh-CN"/>
        </w:rPr>
      </w:pPr>
    </w:p>
    <w:p>
      <w:pPr>
        <w:pStyle w:val="2"/>
        <w:ind w:left="440"/>
        <w:rPr>
          <w:rFonts w:ascii="黑体" w:hAnsi="黑体" w:eastAsia="黑体" w:cs="黑体"/>
          <w:sz w:val="28"/>
          <w:szCs w:val="28"/>
          <w:lang w:eastAsia="zh-CN"/>
        </w:rPr>
      </w:pPr>
    </w:p>
    <w:p>
      <w:pPr>
        <w:rPr>
          <w:lang w:eastAsia="zh-CN"/>
        </w:rPr>
      </w:pPr>
    </w:p>
    <w:p>
      <w:pPr>
        <w:rPr>
          <w:rFonts w:ascii="黑体" w:hAnsi="黑体" w:eastAsia="黑体" w:cs="黑体"/>
          <w:sz w:val="28"/>
          <w:szCs w:val="28"/>
          <w:lang w:eastAsia="zh-CN"/>
        </w:rPr>
      </w:pPr>
    </w:p>
    <w:p>
      <w:pPr>
        <w:rPr>
          <w:rFonts w:ascii="黑体" w:hAnsi="黑体" w:eastAsia="黑体" w:cs="黑体"/>
          <w:sz w:val="28"/>
          <w:szCs w:val="28"/>
          <w:lang w:eastAsia="zh-CN"/>
        </w:rPr>
      </w:pPr>
    </w:p>
    <w:p>
      <w:pPr>
        <w:spacing w:before="11"/>
        <w:rPr>
          <w:rFonts w:ascii="黑体" w:hAnsi="黑体" w:eastAsia="黑体" w:cs="黑体"/>
          <w:sz w:val="39"/>
          <w:szCs w:val="39"/>
          <w:lang w:eastAsia="zh-CN"/>
        </w:rPr>
      </w:pPr>
    </w:p>
    <w:p>
      <w:pPr>
        <w:tabs>
          <w:tab w:val="left" w:pos="7235"/>
        </w:tabs>
        <w:ind w:left="158"/>
        <w:rPr>
          <w:rFonts w:ascii="黑体" w:hAnsi="黑体" w:eastAsia="黑体" w:cs="黑体"/>
          <w:sz w:val="28"/>
          <w:szCs w:val="28"/>
          <w:lang w:eastAsia="zh-CN"/>
        </w:rPr>
      </w:pPr>
      <w:r>
        <w:rPr>
          <w:rFonts w:ascii="黑体" w:hAnsi="黑体" w:eastAsia="黑体"/>
          <w:sz w:val="28"/>
          <w:szCs w:val="28"/>
          <w:lang w:eastAsia="zh-CN"/>
        </w:rPr>
        <w:t xml:space="preserve">XXXX-XX-XX </w:t>
      </w:r>
      <w:r>
        <w:rPr>
          <w:rFonts w:ascii="黑体" w:hAnsi="黑体" w:eastAsia="黑体" w:cs="黑体"/>
          <w:sz w:val="28"/>
          <w:szCs w:val="28"/>
          <w:lang w:eastAsia="zh-CN"/>
        </w:rPr>
        <w:t>发布</w:t>
      </w:r>
      <w:r>
        <w:rPr>
          <w:rFonts w:ascii="黑体" w:hAnsi="黑体" w:eastAsia="黑体" w:cs="黑体"/>
          <w:sz w:val="28"/>
          <w:szCs w:val="28"/>
          <w:lang w:eastAsia="zh-CN"/>
        </w:rPr>
        <w:tab/>
      </w:r>
      <w:r>
        <w:rPr>
          <w:rFonts w:ascii="黑体" w:hAnsi="黑体" w:eastAsia="黑体"/>
          <w:sz w:val="28"/>
          <w:szCs w:val="28"/>
          <w:lang w:eastAsia="zh-CN"/>
        </w:rPr>
        <w:t xml:space="preserve">XXXX-XX-XX </w:t>
      </w:r>
      <w:r>
        <w:rPr>
          <w:rFonts w:ascii="黑体" w:hAnsi="黑体" w:eastAsia="黑体" w:cs="黑体"/>
          <w:sz w:val="28"/>
          <w:szCs w:val="28"/>
          <w:lang w:eastAsia="zh-CN"/>
        </w:rPr>
        <w:t>实施</w:t>
      </w:r>
    </w:p>
    <w:p>
      <w:pPr>
        <w:spacing w:line="20" w:lineRule="atLeast"/>
        <w:ind w:left="149"/>
        <w:rPr>
          <w:rFonts w:ascii="黑体" w:hAnsi="黑体" w:eastAsia="黑体" w:cs="黑体"/>
          <w:sz w:val="2"/>
          <w:szCs w:val="2"/>
        </w:rPr>
      </w:pPr>
      <w:r>
        <w:rPr>
          <w:rFonts w:ascii="黑体" w:hAnsi="黑体" w:eastAsia="黑体" w:cs="黑体"/>
          <w:sz w:val="2"/>
          <w:szCs w:val="2"/>
          <w:lang w:eastAsia="zh-CN"/>
        </w:rPr>
        <mc:AlternateContent>
          <mc:Choice Requires="wpg">
            <w:drawing>
              <wp:inline distT="0" distB="0" distL="114300" distR="114300">
                <wp:extent cx="5812790" cy="76200"/>
                <wp:effectExtent l="0" t="0" r="0" b="0"/>
                <wp:docPr id="3" name="Group 140"/>
                <wp:cNvGraphicFramePr/>
                <a:graphic xmlns:a="http://schemas.openxmlformats.org/drawingml/2006/main">
                  <a:graphicData uri="http://schemas.microsoft.com/office/word/2010/wordprocessingGroup">
                    <wpg:wgp>
                      <wpg:cNvGrpSpPr/>
                      <wpg:grpSpPr>
                        <a:xfrm flipV="1">
                          <a:off x="0" y="0"/>
                          <a:ext cx="5812790" cy="76200"/>
                          <a:chOff x="0" y="0"/>
                          <a:chExt cx="9653" cy="15203"/>
                        </a:xfrm>
                      </wpg:grpSpPr>
                      <wpg:grpSp>
                        <wpg:cNvPr id="2" name="Group 141"/>
                        <wpg:cNvGrpSpPr/>
                        <wpg:grpSpPr>
                          <a:xfrm>
                            <a:off x="8" y="8"/>
                            <a:ext cx="9638" cy="2"/>
                            <a:chOff x="8" y="8"/>
                            <a:chExt cx="9638" cy="2"/>
                          </a:xfrm>
                        </wpg:grpSpPr>
                        <wps:wsp>
                          <wps:cNvPr id="1" name="Freeform 142"/>
                          <wps:cNvSpPr/>
                          <wps:spPr>
                            <a:xfrm>
                              <a:off x="8" y="8"/>
                              <a:ext cx="9638" cy="2"/>
                            </a:xfrm>
                            <a:custGeom>
                              <a:avLst/>
                              <a:gdLst>
                                <a:gd name="A1" fmla="val 0"/>
                                <a:gd name="A2" fmla="val 0"/>
                                <a:gd name="A3" fmla="val 0"/>
                                <a:gd name="txL" fmla="*/ 0 w 9638"/>
                                <a:gd name="txT" fmla="*/ 0 h 2"/>
                                <a:gd name="txR" fmla="*/ 9638 w 9638"/>
                                <a:gd name="txB" fmla="*/ 2 h 2"/>
                              </a:gdLst>
                              <a:ahLst/>
                              <a:cxnLst>
                                <a:cxn ang="0">
                                  <a:pos x="0" y="0"/>
                                </a:cxn>
                                <a:cxn ang="0">
                                  <a:pos x="9638" y="0"/>
                                </a:cxn>
                              </a:cxnLst>
                              <a:rect l="txL" t="txT" r="txR" b="txB"/>
                              <a:pathLst>
                                <a:path w="9638" h="2">
                                  <a:moveTo>
                                    <a:pt x="0" y="-1"/>
                                  </a:moveTo>
                                  <a:lnTo>
                                    <a:pt x="9638" y="-1"/>
                                  </a:lnTo>
                                </a:path>
                              </a:pathLst>
                            </a:custGeom>
                            <a:noFill/>
                            <a:ln w="9525" cap="flat" cmpd="sng">
                              <a:solidFill>
                                <a:srgbClr val="000000"/>
                              </a:solidFill>
                              <a:prstDash val="solid"/>
                              <a:round/>
                              <a:headEnd type="none" w="med" len="med"/>
                              <a:tailEnd type="none" w="med" len="med"/>
                            </a:ln>
                          </wps:spPr>
                          <wps:bodyPr upright="1"/>
                        </wps:wsp>
                      </wpg:grpSp>
                    </wpg:wgp>
                  </a:graphicData>
                </a:graphic>
              </wp:inline>
            </w:drawing>
          </mc:Choice>
          <mc:Fallback>
            <w:pict>
              <v:group id="Group 140" o:spid="_x0000_s1026" o:spt="203" style="flip:y;height:6pt;width:457.7pt;" coordsize="9653,15203" o:gfxdata="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CW1kbZ0wAAAAQBAAAPAAAAAAAAAAEAIAAAACIAAABkcnMvZG93bnJldi54bWxQSwECFAAU&#10;AAAACACHTuJANmNvThMDAAAXCAAADgAAAAAAAAABACAAAAAiAQAAZHJzL2Uyb0RvYy54bWxQSwUG&#10;AAAAAAYABgBZAQAApwYAAAAA&#10;">
                <o:lock v:ext="edit" aspectratio="f"/>
                <v:group id="Group 141" o:spid="_x0000_s1026" o:spt="203" style="position:absolute;left:8;top:8;height:2;width:9638;" coordorigin="8,8" coordsize="9638,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142" o:spid="_x0000_s1026" o:spt="100" style="position:absolute;left:8;top:8;height:2;width:9638;" filled="f" stroked="t" coordsize="9638,2" o:gfxdata="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CA2SrUAAADaAAAADwAA&#10;AAAAAAABACAAAAAiAAAAZHJzL2Rvd25yZXYueG1sUEsBAhQAFAAAAAgAh07iQDMvBZ47AAAAOQAA&#10;ABAAAAAAAAAAAQAgAAAABAEAAGRycy9zaGFwZXhtbC54bWxQSwUGAAAAAAYABgBbAQAArgMAAAAA&#10;" path="m0,-1l9638,-1e">
                    <v:path o:connectlocs="0,0;9638,0" o:connectangles="0,0"/>
                    <v:fill on="f" focussize="0,0"/>
                    <v:stroke color="#000000" joinstyle="round"/>
                    <v:imagedata o:title=""/>
                    <o:lock v:ext="edit" aspectratio="f"/>
                  </v:shape>
                </v:group>
                <w10:wrap type="none"/>
                <w10:anchorlock/>
              </v:group>
            </w:pict>
          </mc:Fallback>
        </mc:AlternateContent>
      </w:r>
    </w:p>
    <w:p>
      <w:pPr>
        <w:tabs>
          <w:tab w:val="left" w:pos="4788"/>
        </w:tabs>
        <w:ind w:right="397"/>
        <w:jc w:val="center"/>
        <w:rPr>
          <w:rFonts w:ascii="黑体" w:hAnsi="黑体" w:eastAsia="黑体" w:cs="黑体"/>
          <w:sz w:val="28"/>
          <w:szCs w:val="28"/>
          <w:lang w:eastAsia="zh-CN"/>
        </w:rPr>
        <w:sectPr>
          <w:headerReference r:id="rId3" w:type="default"/>
          <w:footerReference r:id="rId4" w:type="default"/>
          <w:type w:val="continuous"/>
          <w:pgSz w:w="11910" w:h="16840"/>
          <w:pgMar w:top="567" w:right="1134" w:bottom="1134" w:left="1418" w:header="340" w:footer="1134" w:gutter="0"/>
          <w:cols w:space="720" w:num="1"/>
          <w:docGrid w:linePitch="299" w:charSpace="0"/>
        </w:sectPr>
      </w:pPr>
      <w:r>
        <w:rPr>
          <w:rFonts w:hint="eastAsia" w:ascii="黑体" w:hAnsi="黑体" w:eastAsia="黑体" w:cs="黑体"/>
          <w:spacing w:val="20"/>
          <w:w w:val="135"/>
          <w:sz w:val="36"/>
          <w:szCs w:val="36"/>
          <w:lang w:eastAsia="zh-CN"/>
        </w:rPr>
        <w:t>广东省市场监督管理局</w:t>
      </w:r>
      <w:r>
        <w:rPr>
          <w:rFonts w:hint="eastAsia" w:ascii="黑体" w:hAnsi="黑体" w:eastAsia="黑体" w:cs="黑体"/>
          <w:spacing w:val="20"/>
          <w:w w:val="135"/>
          <w:sz w:val="28"/>
          <w:szCs w:val="28"/>
          <w:lang w:eastAsia="zh-CN"/>
        </w:rPr>
        <w:t xml:space="preserve">  发 布</w:t>
      </w:r>
    </w:p>
    <w:p>
      <w:pPr>
        <w:keepNext/>
        <w:widowControl/>
        <w:shd w:val="clear" w:color="FFFFFF" w:fill="FFFFFF"/>
        <w:spacing w:before="640" w:after="560" w:line="460" w:lineRule="exact"/>
        <w:jc w:val="center"/>
        <w:outlineLvl w:val="0"/>
        <w:rPr>
          <w:rFonts w:ascii="黑体" w:eastAsia="黑体"/>
          <w:sz w:val="32"/>
          <w:szCs w:val="20"/>
          <w:lang w:eastAsia="zh-CN"/>
        </w:rPr>
      </w:pPr>
      <w:bookmarkStart w:id="0" w:name="_Toc5699101"/>
      <w:r>
        <w:rPr>
          <w:rFonts w:hint="eastAsia" w:ascii="黑体" w:eastAsia="黑体"/>
          <w:sz w:val="32"/>
          <w:szCs w:val="20"/>
          <w:lang w:eastAsia="zh-CN"/>
        </w:rPr>
        <w:t>目</w:t>
      </w:r>
      <w:r>
        <w:rPr>
          <w:rFonts w:ascii="黑体" w:hAnsi="黑体" w:eastAsia="黑体"/>
          <w:sz w:val="32"/>
          <w:szCs w:val="20"/>
          <w:lang w:eastAsia="zh-CN"/>
        </w:rPr>
        <w:t>  </w:t>
      </w:r>
      <w:bookmarkEnd w:id="0"/>
      <w:r>
        <w:rPr>
          <w:rFonts w:hint="eastAsia" w:ascii="黑体" w:eastAsia="黑体"/>
          <w:sz w:val="32"/>
          <w:szCs w:val="20"/>
          <w:lang w:eastAsia="zh-CN"/>
        </w:rPr>
        <w:t>次</w:t>
      </w:r>
    </w:p>
    <w:p>
      <w:pPr>
        <w:tabs>
          <w:tab w:val="right" w:leader="dot" w:pos="9241"/>
        </w:tabs>
        <w:spacing w:before="60" w:beforeLines="25" w:after="60" w:afterLines="25"/>
        <w:rPr>
          <w:kern w:val="2"/>
          <w:sz w:val="21"/>
          <w:lang w:eastAsia="zh-CN"/>
        </w:rPr>
      </w:pPr>
      <w:r>
        <w:fldChar w:fldCharType="begin"/>
      </w:r>
      <w:r>
        <w:instrText xml:space="preserve"> HYPERLINK \l "_前__言" </w:instrText>
      </w:r>
      <w:r>
        <w:fldChar w:fldCharType="separate"/>
      </w:r>
      <w:r>
        <w:rPr>
          <w:rFonts w:hint="eastAsia" w:ascii="宋体"/>
          <w:kern w:val="2"/>
          <w:sz w:val="21"/>
          <w:szCs w:val="21"/>
          <w:lang w:eastAsia="zh-CN"/>
        </w:rPr>
        <w:t>前言</w:t>
      </w:r>
      <w:r>
        <w:rPr>
          <w:rFonts w:ascii="宋体"/>
          <w:kern w:val="2"/>
          <w:sz w:val="21"/>
          <w:szCs w:val="21"/>
          <w:lang w:eastAsia="zh-CN"/>
        </w:rPr>
        <w:tab/>
      </w:r>
      <w:r>
        <w:rPr>
          <w:rFonts w:ascii="宋体"/>
          <w:kern w:val="2"/>
          <w:sz w:val="21"/>
          <w:szCs w:val="21"/>
          <w:lang w:eastAsia="zh-CN"/>
        </w:rPr>
        <w:fldChar w:fldCharType="end"/>
      </w:r>
      <w:r>
        <w:rPr>
          <w:rFonts w:hint="eastAsia"/>
          <w:kern w:val="2"/>
          <w:sz w:val="21"/>
          <w:szCs w:val="21"/>
          <w:lang w:eastAsia="zh-CN"/>
        </w:rPr>
        <w:t>Ⅱ</w:t>
      </w:r>
    </w:p>
    <w:p>
      <w:pPr>
        <w:tabs>
          <w:tab w:val="right" w:leader="dot" w:pos="9241"/>
        </w:tabs>
        <w:spacing w:before="60" w:beforeLines="25" w:after="60" w:afterLines="25"/>
        <w:rPr>
          <w:rFonts w:ascii="宋体" w:hAnsi="宋体" w:cs="宋体"/>
          <w:kern w:val="2"/>
          <w:sz w:val="21"/>
          <w:szCs w:val="21"/>
          <w:lang w:eastAsia="zh-CN"/>
        </w:rPr>
      </w:pPr>
      <w:r>
        <w:fldChar w:fldCharType="begin"/>
      </w:r>
      <w:r>
        <w:instrText xml:space="preserve"> HYPERLINK \l "1__范围" </w:instrText>
      </w:r>
      <w:r>
        <w:fldChar w:fldCharType="separate"/>
      </w:r>
      <w:r>
        <w:rPr>
          <w:rFonts w:hint="eastAsia" w:ascii="宋体" w:hAnsi="宋体" w:cs="宋体"/>
          <w:kern w:val="2"/>
          <w:sz w:val="21"/>
          <w:szCs w:val="21"/>
          <w:lang w:eastAsia="zh-CN"/>
        </w:rPr>
        <w:t>1　范围</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begin" w:fldLock="1"/>
      </w:r>
      <w:r>
        <w:rPr>
          <w:rFonts w:hint="eastAsia" w:ascii="宋体" w:hAnsi="宋体" w:cs="宋体"/>
          <w:kern w:val="2"/>
          <w:sz w:val="21"/>
          <w:szCs w:val="21"/>
          <w:lang w:eastAsia="zh-CN"/>
        </w:rPr>
        <w:instrText xml:space="preserve"> PAGEREF _Toc522179635 \h </w:instrText>
      </w:r>
      <w:r>
        <w:rPr>
          <w:rFonts w:hint="eastAsia" w:ascii="宋体" w:hAnsi="宋体" w:cs="宋体"/>
          <w:kern w:val="2"/>
          <w:sz w:val="21"/>
          <w:szCs w:val="21"/>
          <w:lang w:eastAsia="zh-CN"/>
        </w:rPr>
        <w:fldChar w:fldCharType="separate"/>
      </w:r>
      <w:r>
        <w:rPr>
          <w:rFonts w:hint="eastAsia" w:ascii="宋体" w:hAnsi="宋体" w:cs="宋体"/>
          <w:kern w:val="2"/>
          <w:sz w:val="21"/>
          <w:szCs w:val="21"/>
          <w:lang w:eastAsia="zh-CN"/>
        </w:rPr>
        <w:t>1</w:t>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fldChar w:fldCharType="end"/>
      </w:r>
    </w:p>
    <w:p>
      <w:pPr>
        <w:tabs>
          <w:tab w:val="right" w:leader="dot" w:pos="9241"/>
        </w:tabs>
        <w:spacing w:before="60" w:beforeLines="25" w:after="60" w:afterLines="25"/>
        <w:rPr>
          <w:rFonts w:ascii="宋体" w:hAnsi="宋体" w:cs="宋体"/>
          <w:kern w:val="2"/>
          <w:sz w:val="21"/>
          <w:szCs w:val="21"/>
          <w:lang w:eastAsia="zh-CN"/>
        </w:rPr>
      </w:pPr>
      <w:r>
        <w:fldChar w:fldCharType="begin"/>
      </w:r>
      <w:r>
        <w:instrText xml:space="preserve"> HYPERLINK \l "2__规范性引用文件" </w:instrText>
      </w:r>
      <w:r>
        <w:fldChar w:fldCharType="separate"/>
      </w:r>
      <w:r>
        <w:rPr>
          <w:rFonts w:hint="eastAsia" w:ascii="宋体" w:hAnsi="宋体" w:cs="宋体"/>
          <w:kern w:val="2"/>
          <w:sz w:val="21"/>
          <w:szCs w:val="21"/>
          <w:lang w:eastAsia="zh-CN"/>
        </w:rPr>
        <w:t>2　规范性引用文件</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begin" w:fldLock="1"/>
      </w:r>
      <w:r>
        <w:rPr>
          <w:rFonts w:hint="eastAsia" w:ascii="宋体" w:hAnsi="宋体" w:cs="宋体"/>
          <w:kern w:val="2"/>
          <w:sz w:val="21"/>
          <w:szCs w:val="21"/>
          <w:lang w:eastAsia="zh-CN"/>
        </w:rPr>
        <w:instrText xml:space="preserve"> PAGEREF _Toc522179636 \h </w:instrText>
      </w:r>
      <w:r>
        <w:rPr>
          <w:rFonts w:hint="eastAsia" w:ascii="宋体" w:hAnsi="宋体" w:cs="宋体"/>
          <w:kern w:val="2"/>
          <w:sz w:val="21"/>
          <w:szCs w:val="21"/>
          <w:lang w:eastAsia="zh-CN"/>
        </w:rPr>
        <w:fldChar w:fldCharType="separate"/>
      </w:r>
      <w:r>
        <w:rPr>
          <w:rFonts w:hint="eastAsia" w:ascii="宋体" w:hAnsi="宋体" w:cs="宋体"/>
          <w:kern w:val="2"/>
          <w:sz w:val="21"/>
          <w:szCs w:val="21"/>
          <w:lang w:eastAsia="zh-CN"/>
        </w:rPr>
        <w:t>1</w:t>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fldChar w:fldCharType="end"/>
      </w:r>
    </w:p>
    <w:p>
      <w:pPr>
        <w:tabs>
          <w:tab w:val="right" w:leader="dot" w:pos="9241"/>
        </w:tabs>
        <w:spacing w:before="60" w:beforeLines="25" w:after="60" w:afterLines="25"/>
        <w:rPr>
          <w:rFonts w:ascii="宋体" w:hAnsi="宋体" w:cs="宋体"/>
          <w:kern w:val="2"/>
          <w:sz w:val="21"/>
          <w:szCs w:val="21"/>
          <w:lang w:eastAsia="zh-CN"/>
        </w:rPr>
      </w:pPr>
      <w:r>
        <w:fldChar w:fldCharType="begin"/>
      </w:r>
      <w:r>
        <w:instrText xml:space="preserve"> HYPERLINK \l "3__术语和定义" </w:instrText>
      </w:r>
      <w:r>
        <w:fldChar w:fldCharType="separate"/>
      </w:r>
      <w:r>
        <w:rPr>
          <w:rFonts w:hint="eastAsia" w:ascii="宋体" w:hAnsi="宋体" w:cs="宋体"/>
          <w:kern w:val="2"/>
          <w:sz w:val="21"/>
          <w:szCs w:val="21"/>
          <w:lang w:eastAsia="zh-CN"/>
        </w:rPr>
        <w:t>3　术语和定义</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begin" w:fldLock="1"/>
      </w:r>
      <w:r>
        <w:rPr>
          <w:rFonts w:hint="eastAsia" w:ascii="宋体" w:hAnsi="宋体" w:cs="宋体"/>
          <w:kern w:val="2"/>
          <w:sz w:val="21"/>
          <w:szCs w:val="21"/>
          <w:lang w:eastAsia="zh-CN"/>
        </w:rPr>
        <w:instrText xml:space="preserve"> PAGEREF _Toc522179637 \h </w:instrText>
      </w:r>
      <w:r>
        <w:rPr>
          <w:rFonts w:hint="eastAsia" w:ascii="宋体" w:hAnsi="宋体" w:cs="宋体"/>
          <w:kern w:val="2"/>
          <w:sz w:val="21"/>
          <w:szCs w:val="21"/>
          <w:lang w:eastAsia="zh-CN"/>
        </w:rPr>
        <w:fldChar w:fldCharType="separate"/>
      </w:r>
      <w:r>
        <w:rPr>
          <w:rFonts w:hint="eastAsia" w:ascii="宋体" w:hAnsi="宋体" w:cs="宋体"/>
          <w:kern w:val="2"/>
          <w:sz w:val="21"/>
          <w:szCs w:val="21"/>
          <w:lang w:eastAsia="zh-CN"/>
        </w:rPr>
        <w:t>1</w:t>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fldChar w:fldCharType="end"/>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"_Toc522179643" </w:instrText>
      </w:r>
      <w:r>
        <w:fldChar w:fldCharType="separate"/>
      </w:r>
      <w:r>
        <w:rPr>
          <w:rFonts w:hint="eastAsia" w:ascii="宋体" w:hAnsi="宋体" w:cs="宋体"/>
          <w:kern w:val="2"/>
          <w:sz w:val="21"/>
          <w:szCs w:val="21"/>
          <w:lang w:eastAsia="zh-CN"/>
        </w:rPr>
        <w:t>3.1　社会组织</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begin" w:fldLock="1"/>
      </w:r>
      <w:r>
        <w:rPr>
          <w:rFonts w:hint="eastAsia" w:ascii="宋体" w:hAnsi="宋体" w:cs="宋体"/>
          <w:kern w:val="2"/>
          <w:sz w:val="21"/>
          <w:szCs w:val="21"/>
          <w:lang w:eastAsia="zh-CN"/>
        </w:rPr>
        <w:instrText xml:space="preserve"> PAGEREF _Toc522179643 \h </w:instrText>
      </w:r>
      <w:r>
        <w:rPr>
          <w:rFonts w:hint="eastAsia" w:ascii="宋体" w:hAnsi="宋体" w:cs="宋体"/>
          <w:kern w:val="2"/>
          <w:sz w:val="21"/>
          <w:szCs w:val="21"/>
          <w:lang w:eastAsia="zh-CN"/>
        </w:rPr>
        <w:fldChar w:fldCharType="separate"/>
      </w:r>
      <w:r>
        <w:rPr>
          <w:rFonts w:hint="eastAsia" w:ascii="宋体" w:hAnsi="宋体" w:cs="宋体"/>
          <w:kern w:val="2"/>
          <w:sz w:val="21"/>
          <w:szCs w:val="21"/>
          <w:lang w:eastAsia="zh-CN"/>
        </w:rPr>
        <w:t>1</w:t>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fldChar w:fldCharType="end"/>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hint="eastAsia" w:ascii="宋体" w:hAnsi="宋体" w:cs="宋体"/>
          <w:kern w:val="2"/>
          <w:sz w:val="21"/>
          <w:szCs w:val="21"/>
          <w:lang w:eastAsia="zh-CN"/>
        </w:rPr>
        <w:t>3.2　社会团体</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t>1</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hint="eastAsia" w:ascii="宋体" w:hAnsi="宋体" w:cs="宋体"/>
          <w:kern w:val="2"/>
          <w:sz w:val="21"/>
          <w:szCs w:val="21"/>
          <w:lang w:eastAsia="zh-CN"/>
        </w:rPr>
        <w:t>3.3　社会服务机构</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t>1</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hint="eastAsia" w:ascii="宋体" w:hAnsi="宋体" w:cs="宋体"/>
          <w:kern w:val="2"/>
          <w:sz w:val="21"/>
          <w:szCs w:val="21"/>
          <w:lang w:eastAsia="zh-CN"/>
        </w:rPr>
        <w:t>3.4　基金会</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t>1</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hint="eastAsia" w:ascii="宋体" w:hAnsi="宋体" w:cs="宋体"/>
          <w:kern w:val="2"/>
          <w:sz w:val="21"/>
          <w:szCs w:val="21"/>
          <w:lang w:eastAsia="zh-CN"/>
        </w:rPr>
        <w:t>3.</w:t>
      </w:r>
      <w:r>
        <w:rPr>
          <w:rFonts w:ascii="宋体" w:hAnsi="宋体" w:cs="宋体"/>
          <w:kern w:val="2"/>
          <w:sz w:val="21"/>
          <w:szCs w:val="21"/>
          <w:lang w:eastAsia="zh-CN"/>
        </w:rPr>
        <w:t>5</w:t>
      </w:r>
      <w:r>
        <w:rPr>
          <w:rFonts w:hint="eastAsia" w:ascii="宋体" w:hAnsi="宋体" w:cs="宋体"/>
          <w:kern w:val="2"/>
          <w:sz w:val="21"/>
          <w:szCs w:val="21"/>
          <w:lang w:eastAsia="zh-CN"/>
        </w:rPr>
        <w:t>　社会组织能力</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t>1</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hint="eastAsia" w:ascii="宋体" w:hAnsi="宋体" w:cs="宋体"/>
          <w:kern w:val="2"/>
          <w:sz w:val="21"/>
          <w:szCs w:val="21"/>
          <w:lang w:eastAsia="zh-CN"/>
        </w:rPr>
        <w:t>3.</w:t>
      </w:r>
      <w:r>
        <w:rPr>
          <w:rFonts w:ascii="宋体" w:hAnsi="宋体" w:cs="宋体"/>
          <w:kern w:val="2"/>
          <w:sz w:val="21"/>
          <w:szCs w:val="21"/>
          <w:lang w:eastAsia="zh-CN"/>
        </w:rPr>
        <w:t>6</w:t>
      </w:r>
      <w:r>
        <w:rPr>
          <w:rFonts w:hint="eastAsia" w:ascii="宋体" w:hAnsi="宋体" w:cs="宋体"/>
          <w:kern w:val="2"/>
          <w:sz w:val="21"/>
          <w:szCs w:val="21"/>
          <w:lang w:eastAsia="zh-CN"/>
        </w:rPr>
        <w:t>　社会组织能力建设</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t>1</w:t>
      </w:r>
    </w:p>
    <w:p>
      <w:pPr>
        <w:tabs>
          <w:tab w:val="right" w:leader="dot" w:pos="9241"/>
        </w:tabs>
        <w:spacing w:before="60" w:beforeLines="25" w:after="60" w:afterLines="25"/>
        <w:rPr>
          <w:rFonts w:ascii="宋体" w:hAnsi="宋体" w:cs="宋体"/>
          <w:kern w:val="2"/>
          <w:sz w:val="21"/>
          <w:szCs w:val="21"/>
          <w:lang w:eastAsia="zh-CN"/>
        </w:rPr>
      </w:pPr>
      <w:r>
        <w:rPr>
          <w:rFonts w:hint="eastAsia" w:ascii="宋体" w:hAnsi="宋体" w:cs="宋体"/>
          <w:kern w:val="2"/>
          <w:sz w:val="21"/>
          <w:szCs w:val="21"/>
          <w:lang w:eastAsia="zh-CN"/>
        </w:rPr>
        <w:t>4　社会组织分类</w:t>
      </w:r>
      <w:r>
        <w:rPr>
          <w:rFonts w:hint="eastAsia" w:ascii="宋体" w:hAnsi="宋体" w:cs="宋体"/>
          <w:kern w:val="2"/>
          <w:sz w:val="21"/>
          <w:szCs w:val="21"/>
          <w:lang w:eastAsia="zh-CN"/>
        </w:rPr>
        <w:tab/>
      </w:r>
      <w:r>
        <w:rPr>
          <w:rFonts w:ascii="宋体" w:hAnsi="宋体" w:cs="宋体"/>
          <w:kern w:val="2"/>
          <w:sz w:val="21"/>
          <w:szCs w:val="21"/>
          <w:lang w:eastAsia="zh-CN"/>
        </w:rPr>
        <w:t>2</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"_Toc522179643" </w:instrText>
      </w:r>
      <w:r>
        <w:fldChar w:fldCharType="separate"/>
      </w:r>
      <w:r>
        <w:rPr>
          <w:rFonts w:hint="eastAsia" w:ascii="宋体" w:hAnsi="宋体" w:cs="宋体"/>
          <w:kern w:val="2"/>
          <w:sz w:val="21"/>
          <w:szCs w:val="21"/>
          <w:lang w:eastAsia="zh-CN"/>
        </w:rPr>
        <w:t>4.1　分类原则</w:t>
      </w:r>
      <w:r>
        <w:rPr>
          <w:rFonts w:hint="eastAsia" w:ascii="宋体" w:hAnsi="宋体" w:cs="宋体"/>
          <w:kern w:val="2"/>
          <w:sz w:val="21"/>
          <w:szCs w:val="21"/>
          <w:lang w:eastAsia="zh-CN"/>
        </w:rPr>
        <w:tab/>
      </w:r>
      <w:r>
        <w:rPr>
          <w:rFonts w:ascii="宋体" w:hAnsi="宋体" w:cs="宋体"/>
          <w:kern w:val="2"/>
          <w:sz w:val="21"/>
          <w:szCs w:val="21"/>
          <w:lang w:eastAsia="zh-CN"/>
        </w:rPr>
        <w:t>2</w:t>
      </w:r>
      <w:r>
        <w:rPr>
          <w:rFonts w:ascii="宋体" w:hAnsi="宋体" w:cs="宋体"/>
          <w:kern w:val="2"/>
          <w:sz w:val="21"/>
          <w:szCs w:val="21"/>
          <w:lang w:eastAsia="zh-CN"/>
        </w:rPr>
        <w:fldChar w:fldCharType="end"/>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hint="eastAsia" w:ascii="宋体" w:hAnsi="宋体" w:cs="宋体"/>
          <w:kern w:val="2"/>
          <w:sz w:val="21"/>
          <w:szCs w:val="21"/>
          <w:lang w:eastAsia="zh-CN"/>
        </w:rPr>
        <w:t>4.2　分类类别</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2</w:t>
      </w:r>
    </w:p>
    <w:p>
      <w:pPr>
        <w:tabs>
          <w:tab w:val="right" w:leader="dot" w:pos="9241"/>
        </w:tabs>
        <w:spacing w:before="60" w:beforeLines="25" w:after="60" w:afterLines="25"/>
        <w:rPr>
          <w:rFonts w:ascii="宋体" w:hAnsi="宋体" w:cs="宋体"/>
          <w:kern w:val="2"/>
          <w:sz w:val="21"/>
          <w:szCs w:val="21"/>
          <w:lang w:eastAsia="zh-CN"/>
        </w:rPr>
      </w:pPr>
      <w:r>
        <w:rPr>
          <w:rFonts w:ascii="宋体" w:hAnsi="宋体" w:cs="宋体"/>
          <w:kern w:val="2"/>
          <w:sz w:val="21"/>
          <w:szCs w:val="21"/>
          <w:lang w:eastAsia="zh-CN"/>
        </w:rPr>
        <w:t>5</w:t>
      </w:r>
      <w:r>
        <w:rPr>
          <w:rFonts w:hint="eastAsia" w:ascii="宋体" w:hAnsi="宋体" w:cs="宋体"/>
          <w:kern w:val="2"/>
          <w:sz w:val="21"/>
          <w:szCs w:val="21"/>
          <w:lang w:eastAsia="zh-CN"/>
        </w:rPr>
        <w:t>　基本原则</w:t>
      </w:r>
      <w:r>
        <w:rPr>
          <w:rFonts w:hint="eastAsia" w:ascii="宋体" w:hAnsi="宋体" w:cs="宋体"/>
          <w:kern w:val="2"/>
          <w:sz w:val="21"/>
          <w:szCs w:val="21"/>
          <w:lang w:eastAsia="zh-CN"/>
        </w:rPr>
        <w:tab/>
      </w:r>
      <w:r>
        <w:rPr>
          <w:rFonts w:ascii="宋体" w:hAnsi="宋体" w:cs="宋体"/>
          <w:kern w:val="2"/>
          <w:sz w:val="21"/>
          <w:szCs w:val="21"/>
          <w:lang w:eastAsia="zh-CN"/>
        </w:rPr>
        <w:t>3</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"_Toc522179643" </w:instrText>
      </w:r>
      <w:r>
        <w:fldChar w:fldCharType="separate"/>
      </w:r>
      <w:r>
        <w:rPr>
          <w:rFonts w:ascii="宋体" w:hAnsi="宋体" w:cs="宋体"/>
          <w:kern w:val="2"/>
          <w:sz w:val="21"/>
          <w:szCs w:val="21"/>
          <w:lang w:eastAsia="zh-CN"/>
        </w:rPr>
        <w:t>5</w:t>
      </w:r>
      <w:r>
        <w:rPr>
          <w:rFonts w:hint="eastAsia" w:ascii="宋体" w:hAnsi="宋体" w:cs="宋体"/>
          <w:kern w:val="2"/>
          <w:sz w:val="21"/>
          <w:szCs w:val="21"/>
          <w:lang w:eastAsia="zh-CN"/>
        </w:rPr>
        <w:t>.1　科学性</w:t>
      </w:r>
      <w:r>
        <w:rPr>
          <w:rFonts w:hint="eastAsia" w:ascii="宋体" w:hAnsi="宋体" w:cs="宋体"/>
          <w:kern w:val="2"/>
          <w:sz w:val="21"/>
          <w:szCs w:val="21"/>
          <w:lang w:eastAsia="zh-CN"/>
        </w:rPr>
        <w:tab/>
      </w:r>
      <w:r>
        <w:rPr>
          <w:rFonts w:ascii="宋体" w:hAnsi="宋体" w:cs="宋体"/>
          <w:kern w:val="2"/>
          <w:sz w:val="21"/>
          <w:szCs w:val="21"/>
          <w:lang w:eastAsia="zh-CN"/>
        </w:rPr>
        <w:t>3</w:t>
      </w:r>
      <w:r>
        <w:rPr>
          <w:rFonts w:ascii="宋体" w:hAnsi="宋体" w:cs="宋体"/>
          <w:kern w:val="2"/>
          <w:sz w:val="21"/>
          <w:szCs w:val="21"/>
          <w:lang w:eastAsia="zh-CN"/>
        </w:rPr>
        <w:fldChar w:fldCharType="end"/>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ascii="宋体" w:hAnsi="宋体" w:cs="宋体"/>
          <w:kern w:val="2"/>
          <w:sz w:val="21"/>
          <w:szCs w:val="21"/>
          <w:lang w:eastAsia="zh-CN"/>
        </w:rPr>
        <w:t>5</w:t>
      </w:r>
      <w:r>
        <w:rPr>
          <w:rFonts w:hint="eastAsia" w:ascii="宋体" w:hAnsi="宋体" w:cs="宋体"/>
          <w:kern w:val="2"/>
          <w:sz w:val="21"/>
          <w:szCs w:val="21"/>
          <w:lang w:eastAsia="zh-CN"/>
        </w:rPr>
        <w:t>.2　合理性</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3</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ascii="宋体" w:hAnsi="宋体" w:cs="宋体"/>
          <w:kern w:val="2"/>
          <w:sz w:val="21"/>
          <w:szCs w:val="21"/>
          <w:lang w:eastAsia="zh-CN"/>
        </w:rPr>
        <w:t>5</w:t>
      </w:r>
      <w:r>
        <w:rPr>
          <w:rFonts w:hint="eastAsia" w:ascii="宋体" w:hAnsi="宋体" w:cs="宋体"/>
          <w:kern w:val="2"/>
          <w:sz w:val="21"/>
          <w:szCs w:val="21"/>
          <w:lang w:eastAsia="zh-CN"/>
        </w:rPr>
        <w:t>.3　前瞻性</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3</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ascii="宋体" w:hAnsi="宋体" w:cs="宋体"/>
          <w:kern w:val="2"/>
          <w:sz w:val="21"/>
          <w:szCs w:val="21"/>
          <w:lang w:eastAsia="zh-CN"/>
        </w:rPr>
        <w:t>5</w:t>
      </w:r>
      <w:r>
        <w:rPr>
          <w:rFonts w:hint="eastAsia" w:ascii="宋体" w:hAnsi="宋体" w:cs="宋体"/>
          <w:kern w:val="2"/>
          <w:sz w:val="21"/>
          <w:szCs w:val="21"/>
          <w:lang w:eastAsia="zh-CN"/>
        </w:rPr>
        <w:t>.4　适用性</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3</w:t>
      </w:r>
    </w:p>
    <w:p>
      <w:pPr>
        <w:tabs>
          <w:tab w:val="right" w:leader="dot" w:pos="9241"/>
        </w:tabs>
        <w:spacing w:before="60" w:beforeLines="25" w:after="60" w:afterLines="25"/>
        <w:rPr>
          <w:rFonts w:ascii="宋体" w:hAnsi="宋体" w:cs="宋体"/>
          <w:kern w:val="2"/>
          <w:sz w:val="21"/>
          <w:szCs w:val="21"/>
          <w:lang w:eastAsia="zh-CN"/>
        </w:rPr>
      </w:pPr>
      <w:r>
        <w:fldChar w:fldCharType="begin"/>
      </w:r>
      <w:r>
        <w:instrText xml:space="preserve"> HYPERLINK \l "_Toc522179648" </w:instrText>
      </w:r>
      <w:r>
        <w:fldChar w:fldCharType="separate"/>
      </w:r>
      <w:r>
        <w:rPr>
          <w:rFonts w:ascii="宋体" w:hAnsi="宋体" w:cs="宋体"/>
          <w:kern w:val="2"/>
          <w:sz w:val="21"/>
          <w:szCs w:val="21"/>
          <w:lang w:eastAsia="zh-CN"/>
        </w:rPr>
        <w:t>6</w:t>
      </w:r>
      <w:r>
        <w:rPr>
          <w:rFonts w:hint="eastAsia" w:ascii="宋体" w:hAnsi="宋体" w:cs="宋体"/>
          <w:kern w:val="2"/>
          <w:sz w:val="21"/>
          <w:szCs w:val="21"/>
          <w:lang w:eastAsia="zh-CN"/>
        </w:rPr>
        <w:t>　能力建设目标</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3</w:t>
      </w:r>
    </w:p>
    <w:p>
      <w:pPr>
        <w:tabs>
          <w:tab w:val="right" w:leader="dot" w:pos="9241"/>
        </w:tabs>
        <w:spacing w:before="60" w:beforeLines="25" w:after="60" w:afterLines="25"/>
        <w:rPr>
          <w:rFonts w:ascii="宋体" w:hAnsi="宋体" w:cs="宋体"/>
          <w:kern w:val="2"/>
          <w:sz w:val="21"/>
          <w:szCs w:val="21"/>
          <w:lang w:eastAsia="zh-CN"/>
        </w:rPr>
      </w:pPr>
      <w:r>
        <w:fldChar w:fldCharType="begin"/>
      </w:r>
      <w:r>
        <w:instrText xml:space="preserve"> HYPERLINK \l "_Toc522179648" </w:instrText>
      </w:r>
      <w:r>
        <w:fldChar w:fldCharType="separate"/>
      </w:r>
      <w:r>
        <w:rPr>
          <w:rFonts w:ascii="宋体" w:hAnsi="宋体" w:cs="宋体"/>
          <w:kern w:val="2"/>
          <w:sz w:val="21"/>
          <w:szCs w:val="21"/>
          <w:lang w:eastAsia="zh-CN"/>
        </w:rPr>
        <w:t>7</w:t>
      </w:r>
      <w:r>
        <w:rPr>
          <w:rFonts w:hint="eastAsia" w:ascii="宋体" w:hAnsi="宋体" w:cs="宋体"/>
          <w:kern w:val="2"/>
          <w:sz w:val="21"/>
          <w:szCs w:val="21"/>
          <w:lang w:eastAsia="zh-CN"/>
        </w:rPr>
        <w:t>　能力建设内容</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3</w:t>
      </w:r>
    </w:p>
    <w:p>
      <w:pPr>
        <w:tabs>
          <w:tab w:val="right" w:leader="dot" w:pos="9241"/>
        </w:tabs>
        <w:ind w:firstLine="220" w:firstLineChars="100"/>
        <w:rPr>
          <w:lang w:eastAsia="zh-CN"/>
        </w:rPr>
      </w:pPr>
      <w:r>
        <w:fldChar w:fldCharType="begin"/>
      </w:r>
      <w:r>
        <w:instrText xml:space="preserve"> HYPERLINK \l "_Toc522179643" </w:instrText>
      </w:r>
      <w:r>
        <w:fldChar w:fldCharType="separate"/>
      </w:r>
      <w:r>
        <w:rPr>
          <w:rFonts w:ascii="宋体" w:hAnsi="宋体" w:cs="宋体"/>
          <w:kern w:val="2"/>
          <w:sz w:val="21"/>
          <w:szCs w:val="21"/>
          <w:lang w:eastAsia="zh-CN"/>
        </w:rPr>
        <w:t>7</w:t>
      </w:r>
      <w:r>
        <w:rPr>
          <w:rFonts w:hint="eastAsia" w:ascii="宋体" w:hAnsi="宋体" w:cs="宋体"/>
          <w:kern w:val="2"/>
          <w:sz w:val="21"/>
          <w:szCs w:val="21"/>
          <w:lang w:eastAsia="zh-CN"/>
        </w:rPr>
        <w:t>.1　通用能力</w:t>
      </w:r>
      <w:r>
        <w:rPr>
          <w:rFonts w:hint="eastAsia" w:ascii="宋体" w:hAnsi="宋体" w:cs="宋体"/>
          <w:kern w:val="2"/>
          <w:sz w:val="21"/>
          <w:szCs w:val="21"/>
          <w:lang w:eastAsia="zh-CN"/>
        </w:rPr>
        <w:tab/>
      </w:r>
      <w:r>
        <w:rPr>
          <w:rFonts w:ascii="宋体" w:hAnsi="宋体" w:cs="宋体"/>
          <w:kern w:val="2"/>
          <w:sz w:val="21"/>
          <w:szCs w:val="21"/>
          <w:lang w:eastAsia="zh-CN"/>
        </w:rPr>
        <w:t>3</w:t>
      </w:r>
      <w:r>
        <w:rPr>
          <w:rFonts w:ascii="宋体" w:hAnsi="宋体" w:cs="宋体"/>
          <w:kern w:val="2"/>
          <w:sz w:val="21"/>
          <w:szCs w:val="21"/>
          <w:lang w:eastAsia="zh-CN"/>
        </w:rPr>
        <w:fldChar w:fldCharType="end"/>
      </w:r>
    </w:p>
    <w:p>
      <w:pPr>
        <w:tabs>
          <w:tab w:val="right" w:leader="dot" w:pos="9241"/>
        </w:tabs>
        <w:ind w:firstLine="220" w:firstLineChars="100"/>
        <w:rPr>
          <w:lang w:eastAsia="zh-CN"/>
        </w:rPr>
      </w:pPr>
      <w:r>
        <w:fldChar w:fldCharType="begin"/>
      </w:r>
      <w:r>
        <w:instrText xml:space="preserve"> HYPERLINK \l "_Toc522179643" </w:instrText>
      </w:r>
      <w:r>
        <w:fldChar w:fldCharType="separate"/>
      </w:r>
      <w:r>
        <w:rPr>
          <w:rFonts w:ascii="宋体" w:hAnsi="宋体" w:cs="宋体"/>
          <w:kern w:val="2"/>
          <w:sz w:val="21"/>
          <w:szCs w:val="21"/>
          <w:lang w:eastAsia="zh-CN"/>
        </w:rPr>
        <w:t>7</w:t>
      </w:r>
      <w:r>
        <w:rPr>
          <w:rFonts w:hint="eastAsia" w:ascii="宋体" w:hAnsi="宋体" w:cs="宋体"/>
          <w:kern w:val="2"/>
          <w:sz w:val="21"/>
          <w:szCs w:val="21"/>
          <w:lang w:eastAsia="zh-CN"/>
        </w:rPr>
        <w:t>.2　通用能力建设内容</w:t>
      </w:r>
      <w:r>
        <w:rPr>
          <w:rFonts w:hint="eastAsia" w:ascii="宋体" w:hAnsi="宋体" w:cs="宋体"/>
          <w:kern w:val="2"/>
          <w:sz w:val="21"/>
          <w:szCs w:val="21"/>
          <w:lang w:eastAsia="zh-CN"/>
        </w:rPr>
        <w:tab/>
      </w:r>
      <w:r>
        <w:rPr>
          <w:rFonts w:hint="eastAsia" w:ascii="宋体" w:hAnsi="宋体" w:cs="宋体"/>
          <w:kern w:val="2"/>
          <w:sz w:val="21"/>
          <w:szCs w:val="21"/>
          <w:lang w:eastAsia="zh-CN"/>
        </w:rPr>
        <w:t>4</w:t>
      </w:r>
      <w:r>
        <w:rPr>
          <w:rFonts w:hint="eastAsia" w:ascii="宋体" w:hAnsi="宋体" w:cs="宋体"/>
          <w:kern w:val="2"/>
          <w:sz w:val="21"/>
          <w:szCs w:val="21"/>
          <w:lang w:eastAsia="zh-CN"/>
        </w:rPr>
        <w:fldChar w:fldCharType="end"/>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"_Toc522179644" </w:instrText>
      </w:r>
      <w:r>
        <w:fldChar w:fldCharType="separate"/>
      </w:r>
      <w:r>
        <w:rPr>
          <w:rFonts w:ascii="宋体" w:hAnsi="宋体" w:cs="宋体"/>
          <w:kern w:val="2"/>
          <w:sz w:val="21"/>
          <w:szCs w:val="21"/>
          <w:lang w:eastAsia="zh-CN"/>
        </w:rPr>
        <w:t>7</w:t>
      </w:r>
      <w:r>
        <w:rPr>
          <w:rFonts w:hint="eastAsia" w:ascii="宋体" w:hAnsi="宋体" w:cs="宋体"/>
          <w:kern w:val="2"/>
          <w:sz w:val="21"/>
          <w:szCs w:val="21"/>
          <w:lang w:eastAsia="zh-CN"/>
        </w:rPr>
        <w:t>.3　专有能力</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t>4</w:t>
      </w:r>
    </w:p>
    <w:p>
      <w:pPr>
        <w:tabs>
          <w:tab w:val="right" w:leader="dot" w:pos="9241"/>
        </w:tabs>
        <w:ind w:firstLine="220" w:firstLineChars="100"/>
        <w:rPr>
          <w:lang w:eastAsia="zh-CN"/>
        </w:rPr>
      </w:pPr>
      <w:r>
        <w:rPr>
          <w:rFonts w:ascii="宋体" w:hAnsi="宋体"/>
          <w:lang w:eastAsia="zh-CN"/>
        </w:rPr>
        <w:t>7</w:t>
      </w:r>
      <w:r>
        <w:rPr>
          <w:rFonts w:hint="eastAsia" w:ascii="宋体" w:hAnsi="宋体"/>
          <w:lang w:eastAsia="zh-CN"/>
        </w:rPr>
        <w:t>.4　</w:t>
      </w:r>
      <w:r>
        <w:rPr>
          <w:rFonts w:hint="eastAsia"/>
          <w:lang w:eastAsia="zh-CN"/>
        </w:rPr>
        <w:t>专有能力建设内容</w:t>
      </w:r>
      <w:r>
        <w:rPr>
          <w:rFonts w:hint="eastAsia" w:asciiTheme="minorEastAsia" w:hAnsiTheme="minorEastAsia" w:eastAsiaTheme="minorEastAsia"/>
          <w:lang w:eastAsia="zh-CN"/>
        </w:rPr>
        <w:tab/>
      </w:r>
      <w:r>
        <w:rPr>
          <w:rFonts w:hint="eastAsia" w:asciiTheme="minorEastAsia" w:hAnsiTheme="minorEastAsia" w:eastAsiaTheme="minorEastAsia"/>
          <w:lang w:eastAsia="zh-CN"/>
        </w:rPr>
        <w:t>5</w:t>
      </w:r>
    </w:p>
    <w:p>
      <w:pPr>
        <w:tabs>
          <w:tab w:val="right" w:leader="dot" w:pos="9241"/>
        </w:tabs>
        <w:spacing w:before="60" w:beforeLines="25" w:after="60" w:afterLines="25"/>
        <w:rPr>
          <w:rFonts w:ascii="宋体" w:hAnsi="宋体" w:cs="宋体"/>
          <w:kern w:val="2"/>
          <w:sz w:val="21"/>
          <w:szCs w:val="21"/>
          <w:lang w:eastAsia="zh-CN"/>
        </w:rPr>
      </w:pPr>
      <w:r>
        <w:fldChar w:fldCharType="begin"/>
      </w:r>
      <w:r>
        <w:instrText xml:space="preserve"> HYPERLINK \l "_Toc522179648" </w:instrText>
      </w:r>
      <w:r>
        <w:fldChar w:fldCharType="separate"/>
      </w:r>
      <w:r>
        <w:rPr>
          <w:rFonts w:ascii="宋体" w:hAnsi="宋体" w:cs="宋体"/>
          <w:kern w:val="2"/>
          <w:sz w:val="21"/>
          <w:szCs w:val="21"/>
          <w:lang w:eastAsia="zh-CN"/>
        </w:rPr>
        <w:t>8</w:t>
      </w:r>
      <w:r>
        <w:rPr>
          <w:rFonts w:hint="eastAsia" w:ascii="宋体" w:hAnsi="宋体" w:cs="宋体"/>
          <w:kern w:val="2"/>
          <w:sz w:val="21"/>
          <w:szCs w:val="21"/>
          <w:lang w:eastAsia="zh-CN"/>
        </w:rPr>
        <w:t>　能力建设实施路径</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t>5</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"_Toc522179649" </w:instrText>
      </w:r>
      <w:r>
        <w:fldChar w:fldCharType="separate"/>
      </w:r>
      <w:r>
        <w:rPr>
          <w:rFonts w:ascii="宋体" w:hAnsi="宋体" w:cs="宋体"/>
          <w:kern w:val="2"/>
          <w:sz w:val="21"/>
          <w:szCs w:val="21"/>
          <w:lang w:eastAsia="zh-CN"/>
        </w:rPr>
        <w:t>8</w:t>
      </w:r>
      <w:r>
        <w:rPr>
          <w:rFonts w:hint="eastAsia" w:ascii="宋体" w:hAnsi="宋体" w:cs="宋体"/>
          <w:kern w:val="2"/>
          <w:sz w:val="21"/>
          <w:szCs w:val="21"/>
          <w:lang w:eastAsia="zh-CN"/>
        </w:rPr>
        <w:t>.1　政府培育扶持</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t>5</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"_Toc522179650" </w:instrText>
      </w:r>
      <w:r>
        <w:fldChar w:fldCharType="separate"/>
      </w:r>
      <w:r>
        <w:rPr>
          <w:rFonts w:ascii="宋体" w:hAnsi="宋体" w:cs="宋体"/>
          <w:kern w:val="2"/>
          <w:sz w:val="21"/>
          <w:szCs w:val="21"/>
          <w:lang w:eastAsia="zh-CN"/>
        </w:rPr>
        <w:t>8</w:t>
      </w:r>
      <w:r>
        <w:rPr>
          <w:rFonts w:hint="eastAsia" w:ascii="宋体" w:hAnsi="宋体" w:cs="宋体"/>
          <w:kern w:val="2"/>
          <w:sz w:val="21"/>
          <w:szCs w:val="21"/>
          <w:lang w:eastAsia="zh-CN"/>
        </w:rPr>
        <w:t>.2　枢纽型社会组织立体支持</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5</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"_Toc522179651" </w:instrText>
      </w:r>
      <w:r>
        <w:fldChar w:fldCharType="separate"/>
      </w:r>
      <w:r>
        <w:rPr>
          <w:rFonts w:ascii="宋体" w:hAnsi="宋体" w:cs="宋体"/>
          <w:kern w:val="2"/>
          <w:sz w:val="21"/>
          <w:szCs w:val="21"/>
          <w:lang w:eastAsia="zh-CN"/>
        </w:rPr>
        <w:t>8</w:t>
      </w:r>
      <w:r>
        <w:rPr>
          <w:rFonts w:hint="eastAsia" w:ascii="宋体" w:hAnsi="宋体" w:cs="宋体"/>
          <w:kern w:val="2"/>
          <w:sz w:val="21"/>
          <w:szCs w:val="21"/>
          <w:lang w:eastAsia="zh-CN"/>
        </w:rPr>
        <w:t>.3　高校、科研院所和第三方服务机构专业支持</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6</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"_Toc522179650" </w:instrText>
      </w:r>
      <w:r>
        <w:fldChar w:fldCharType="separate"/>
      </w:r>
      <w:r>
        <w:rPr>
          <w:rFonts w:ascii="宋体" w:hAnsi="宋体" w:cs="宋体"/>
          <w:kern w:val="2"/>
          <w:sz w:val="21"/>
          <w:szCs w:val="21"/>
          <w:lang w:eastAsia="zh-CN"/>
        </w:rPr>
        <w:t>8</w:t>
      </w:r>
      <w:r>
        <w:rPr>
          <w:rFonts w:hint="eastAsia" w:ascii="宋体" w:hAnsi="宋体" w:cs="宋体"/>
          <w:kern w:val="2"/>
          <w:sz w:val="21"/>
          <w:szCs w:val="21"/>
          <w:lang w:eastAsia="zh-CN"/>
        </w:rPr>
        <w:t>.</w:t>
      </w:r>
      <w:r>
        <w:rPr>
          <w:rFonts w:ascii="宋体" w:hAnsi="宋体" w:cs="宋体"/>
          <w:kern w:val="2"/>
          <w:sz w:val="21"/>
          <w:szCs w:val="21"/>
          <w:lang w:eastAsia="zh-CN"/>
        </w:rPr>
        <w:t>4</w:t>
      </w:r>
      <w:r>
        <w:rPr>
          <w:rFonts w:hint="eastAsia" w:ascii="宋体" w:hAnsi="宋体" w:cs="宋体"/>
          <w:kern w:val="2"/>
          <w:sz w:val="21"/>
          <w:szCs w:val="21"/>
          <w:lang w:eastAsia="zh-CN"/>
        </w:rPr>
        <w:t>　社会组织对口支援</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6</w:t>
      </w:r>
    </w:p>
    <w:p>
      <w:pPr>
        <w:tabs>
          <w:tab w:val="right" w:leader="dot" w:pos="9241"/>
        </w:tabs>
        <w:ind w:firstLine="220" w:firstLineChars="100"/>
        <w:rPr>
          <w:rFonts w:ascii="宋体" w:hAnsi="宋体" w:cs="宋体"/>
          <w:kern w:val="2"/>
          <w:sz w:val="21"/>
          <w:szCs w:val="21"/>
          <w:lang w:eastAsia="zh-CN"/>
        </w:rPr>
      </w:pPr>
      <w:r>
        <w:fldChar w:fldCharType="begin"/>
      </w:r>
      <w:r>
        <w:instrText xml:space="preserve"> HYPERLINK \l "_Toc522179651" </w:instrText>
      </w:r>
      <w:r>
        <w:fldChar w:fldCharType="separate"/>
      </w:r>
      <w:r>
        <w:rPr>
          <w:rFonts w:ascii="宋体" w:hAnsi="宋体" w:cs="宋体"/>
          <w:kern w:val="2"/>
          <w:sz w:val="21"/>
          <w:szCs w:val="21"/>
          <w:lang w:eastAsia="zh-CN"/>
        </w:rPr>
        <w:t>8</w:t>
      </w:r>
      <w:r>
        <w:rPr>
          <w:rFonts w:hint="eastAsia" w:ascii="宋体" w:hAnsi="宋体" w:cs="宋体"/>
          <w:kern w:val="2"/>
          <w:sz w:val="21"/>
          <w:szCs w:val="21"/>
          <w:lang w:eastAsia="zh-CN"/>
        </w:rPr>
        <w:t>.</w:t>
      </w:r>
      <w:r>
        <w:rPr>
          <w:rFonts w:ascii="宋体" w:hAnsi="宋体" w:cs="宋体"/>
          <w:kern w:val="2"/>
          <w:sz w:val="21"/>
          <w:szCs w:val="21"/>
          <w:lang w:eastAsia="zh-CN"/>
        </w:rPr>
        <w:t>5</w:t>
      </w:r>
      <w:r>
        <w:rPr>
          <w:rFonts w:hint="eastAsia" w:ascii="宋体" w:hAnsi="宋体" w:cs="宋体"/>
          <w:kern w:val="2"/>
          <w:sz w:val="21"/>
          <w:szCs w:val="21"/>
          <w:lang w:eastAsia="zh-CN"/>
        </w:rPr>
        <w:t>　社会组织内部建设</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6</w:t>
      </w:r>
    </w:p>
    <w:p>
      <w:pPr>
        <w:tabs>
          <w:tab w:val="right" w:leader="dot" w:pos="9241"/>
        </w:tabs>
        <w:spacing w:before="60" w:beforeLines="25" w:after="60" w:afterLines="25"/>
        <w:rPr>
          <w:rFonts w:ascii="宋体" w:hAnsi="宋体" w:cs="宋体"/>
          <w:kern w:val="2"/>
          <w:sz w:val="21"/>
          <w:szCs w:val="21"/>
          <w:lang w:eastAsia="zh-CN"/>
        </w:rPr>
      </w:pPr>
      <w:r>
        <w:fldChar w:fldCharType="begin"/>
      </w:r>
      <w:r>
        <w:instrText xml:space="preserve"> HYPERLINK "file:///F:\\【标准制订】《品牌社会组织评价指标》制订\\标准草案\\【版本三】《品牌社会组织评价指标》（20190409）.docx" </w:instrText>
      </w:r>
      <w:r>
        <w:fldChar w:fldCharType="separate"/>
      </w:r>
      <w:r>
        <w:rPr>
          <w:rFonts w:hint="eastAsia" w:ascii="宋体" w:hAnsi="宋体" w:cs="宋体"/>
          <w:kern w:val="2"/>
          <w:sz w:val="21"/>
          <w:szCs w:val="21"/>
          <w:lang w:eastAsia="zh-CN"/>
        </w:rPr>
        <w:t>附录A（规范性）社会组织通用能力建设内容</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7</w:t>
      </w:r>
    </w:p>
    <w:p>
      <w:pPr>
        <w:tabs>
          <w:tab w:val="right" w:leader="dot" w:pos="9241"/>
        </w:tabs>
        <w:spacing w:before="60" w:beforeLines="25" w:after="60" w:afterLines="25"/>
        <w:rPr>
          <w:lang w:eastAsia="zh-CN"/>
        </w:rPr>
      </w:pPr>
      <w:r>
        <w:fldChar w:fldCharType="begin"/>
      </w:r>
      <w:r>
        <w:instrText xml:space="preserve"> HYPERLINK "file:///F:\\【标准制订】《品牌社会组织评价指标》制订\\标准草案\\【版本三】《品牌社会组织评价指标》（20190409）.docx" </w:instrText>
      </w:r>
      <w:r>
        <w:fldChar w:fldCharType="separate"/>
      </w:r>
      <w:r>
        <w:rPr>
          <w:rFonts w:hint="eastAsia" w:ascii="宋体" w:hAnsi="宋体" w:cs="宋体"/>
          <w:kern w:val="2"/>
          <w:sz w:val="21"/>
          <w:szCs w:val="21"/>
          <w:lang w:eastAsia="zh-CN"/>
        </w:rPr>
        <w:t>附录B（规范性）社会组织专有能力建设内容</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ascii="宋体" w:hAnsi="宋体" w:cs="宋体"/>
          <w:kern w:val="2"/>
          <w:sz w:val="21"/>
          <w:szCs w:val="21"/>
          <w:lang w:eastAsia="zh-CN"/>
        </w:rPr>
        <w:t>9</w:t>
      </w:r>
    </w:p>
    <w:p>
      <w:pPr>
        <w:tabs>
          <w:tab w:val="right" w:leader="dot" w:pos="9241"/>
        </w:tabs>
        <w:spacing w:before="60" w:beforeLines="25" w:after="60" w:afterLines="25"/>
        <w:rPr>
          <w:rFonts w:ascii="宋体" w:hAnsi="宋体" w:cs="宋体"/>
          <w:sz w:val="21"/>
          <w:szCs w:val="21"/>
          <w:lang w:eastAsia="zh-CN"/>
        </w:rPr>
        <w:sectPr>
          <w:headerReference r:id="rId5" w:type="default"/>
          <w:footerReference r:id="rId7" w:type="default"/>
          <w:headerReference r:id="rId6" w:type="even"/>
          <w:footerReference r:id="rId8" w:type="even"/>
          <w:pgSz w:w="11910" w:h="16840"/>
          <w:pgMar w:top="1417" w:right="1134" w:bottom="1134" w:left="1418" w:header="1418" w:footer="1134" w:gutter="0"/>
          <w:pgNumType w:fmt="upperRoman" w:start="1"/>
          <w:cols w:space="720" w:num="1"/>
          <w:docGrid w:linePitch="299" w:charSpace="0"/>
        </w:sectPr>
      </w:pPr>
      <w:r>
        <w:fldChar w:fldCharType="begin"/>
      </w:r>
      <w:r>
        <w:instrText xml:space="preserve"> HYPERLINK \l "_Toc522179679" </w:instrText>
      </w:r>
      <w:r>
        <w:fldChar w:fldCharType="separate"/>
      </w:r>
      <w:r>
        <w:rPr>
          <w:rFonts w:hint="eastAsia" w:ascii="宋体" w:hAnsi="宋体" w:cs="宋体"/>
          <w:kern w:val="2"/>
          <w:sz w:val="21"/>
          <w:szCs w:val="21"/>
          <w:lang w:eastAsia="zh-CN"/>
        </w:rPr>
        <w:t>参考文献</w:t>
      </w:r>
      <w:r>
        <w:rPr>
          <w:rFonts w:hint="eastAsia" w:ascii="宋体" w:hAnsi="宋体" w:cs="宋体"/>
          <w:kern w:val="2"/>
          <w:sz w:val="21"/>
          <w:szCs w:val="21"/>
          <w:lang w:eastAsia="zh-CN"/>
        </w:rPr>
        <w:tab/>
      </w:r>
      <w:r>
        <w:rPr>
          <w:rFonts w:hint="eastAsia" w:ascii="宋体" w:hAnsi="宋体" w:cs="宋体"/>
          <w:kern w:val="2"/>
          <w:sz w:val="21"/>
          <w:szCs w:val="21"/>
          <w:lang w:eastAsia="zh-CN"/>
        </w:rPr>
        <w:fldChar w:fldCharType="end"/>
      </w:r>
      <w:r>
        <w:rPr>
          <w:rFonts w:hint="eastAsia" w:ascii="宋体" w:hAnsi="宋体" w:cs="宋体"/>
          <w:kern w:val="2"/>
          <w:sz w:val="21"/>
          <w:szCs w:val="21"/>
          <w:lang w:eastAsia="zh-CN"/>
        </w:rPr>
        <w:t>1</w:t>
      </w:r>
      <w:r>
        <w:rPr>
          <w:rFonts w:ascii="宋体" w:hAnsi="宋体" w:cs="宋体"/>
          <w:kern w:val="2"/>
          <w:sz w:val="21"/>
          <w:szCs w:val="21"/>
          <w:lang w:eastAsia="zh-CN"/>
        </w:rPr>
        <w:t>2</w:t>
      </w:r>
    </w:p>
    <w:p>
      <w:pPr>
        <w:pStyle w:val="52"/>
        <w:pageBreakBefore w:val="0"/>
      </w:pPr>
      <w:bookmarkStart w:id="1" w:name="_Toc519156434"/>
      <w:bookmarkStart w:id="2" w:name="_Toc522179634"/>
      <w:r>
        <w:rPr>
          <w:rFonts w:hint="eastAsia"/>
        </w:rPr>
        <w:t>前</w:t>
      </w:r>
      <w:bookmarkStart w:id="3" w:name="BKQY"/>
      <w:r>
        <w:rPr>
          <w:rFonts w:hAnsi="黑体"/>
        </w:rPr>
        <w:t>  </w:t>
      </w:r>
      <w:r>
        <w:rPr>
          <w:rFonts w:hint="eastAsia"/>
        </w:rPr>
        <w:t>言</w:t>
      </w:r>
      <w:bookmarkEnd w:id="1"/>
      <w:bookmarkEnd w:id="2"/>
      <w:bookmarkEnd w:id="3"/>
    </w:p>
    <w:p>
      <w:pPr>
        <w:pStyle w:val="9"/>
        <w:ind w:left="0" w:firstLine="420" w:firstLineChars="200"/>
        <w:rPr>
          <w:lang w:eastAsia="zh-CN"/>
        </w:rPr>
      </w:pPr>
      <w:r>
        <w:rPr>
          <w:lang w:eastAsia="zh-CN"/>
        </w:rPr>
        <w:t>本</w:t>
      </w:r>
      <w:r>
        <w:rPr>
          <w:rFonts w:hint="eastAsia"/>
          <w:lang w:eastAsia="zh-CN"/>
        </w:rPr>
        <w:t>文件</w:t>
      </w:r>
      <w:r>
        <w:rPr>
          <w:lang w:eastAsia="zh-CN"/>
        </w:rPr>
        <w:t>按照</w:t>
      </w:r>
      <w:bookmarkStart w:id="4" w:name="_Hlk75183172"/>
      <w:r>
        <w:rPr>
          <w:rFonts w:cs="宋体"/>
          <w:lang w:eastAsia="zh-CN"/>
        </w:rPr>
        <w:t>GB/T 1.1-20</w:t>
      </w:r>
      <w:r>
        <w:rPr>
          <w:rFonts w:hint="eastAsia" w:cs="宋体"/>
          <w:lang w:eastAsia="zh-CN"/>
        </w:rPr>
        <w:t>20《标准化工作导则 第1部分：标准化文件的结构和起草规则》</w:t>
      </w:r>
      <w:bookmarkEnd w:id="4"/>
      <w:r>
        <w:rPr>
          <w:rFonts w:hint="eastAsia"/>
          <w:lang w:eastAsia="zh-CN"/>
        </w:rPr>
        <w:t>的</w:t>
      </w:r>
      <w:r>
        <w:rPr>
          <w:lang w:eastAsia="zh-CN"/>
        </w:rPr>
        <w:t>规定起草。</w:t>
      </w:r>
    </w:p>
    <w:p>
      <w:pPr>
        <w:pStyle w:val="9"/>
        <w:ind w:left="0" w:firstLine="420" w:firstLineChars="200"/>
        <w:rPr>
          <w:lang w:eastAsia="zh-CN"/>
        </w:rPr>
      </w:pPr>
      <w:r>
        <w:rPr>
          <w:rFonts w:hint="eastAsia"/>
          <w:lang w:eastAsia="zh-CN"/>
        </w:rPr>
        <w:t>请注意本文件的某些内容可能涉及专利。本文件的发布机构不承担识别专利的责任。</w:t>
      </w:r>
    </w:p>
    <w:p>
      <w:pPr>
        <w:pStyle w:val="9"/>
        <w:ind w:left="0" w:firstLine="420" w:firstLineChars="200"/>
        <w:rPr>
          <w:lang w:eastAsia="zh-CN"/>
        </w:rPr>
      </w:pPr>
      <w:r>
        <w:rPr>
          <w:lang w:eastAsia="zh-CN"/>
        </w:rPr>
        <w:t>本</w:t>
      </w:r>
      <w:r>
        <w:rPr>
          <w:rFonts w:hint="eastAsia"/>
          <w:lang w:eastAsia="zh-CN"/>
        </w:rPr>
        <w:t>文件</w:t>
      </w:r>
      <w:r>
        <w:rPr>
          <w:lang w:eastAsia="zh-CN"/>
        </w:rPr>
        <w:t>由</w:t>
      </w:r>
      <w:r>
        <w:rPr>
          <w:rFonts w:hint="eastAsia"/>
          <w:lang w:eastAsia="zh-CN"/>
        </w:rPr>
        <w:t>广东省</w:t>
      </w:r>
      <w:r>
        <w:rPr>
          <w:lang w:eastAsia="zh-CN"/>
        </w:rPr>
        <w:t>民政厅提出并归口。</w:t>
      </w:r>
    </w:p>
    <w:p>
      <w:pPr>
        <w:pStyle w:val="9"/>
        <w:ind w:left="117" w:leftChars="53" w:firstLine="308" w:firstLineChars="147"/>
        <w:rPr>
          <w:lang w:eastAsia="zh-CN"/>
        </w:rPr>
      </w:pPr>
      <w:r>
        <w:rPr>
          <w:lang w:eastAsia="zh-CN"/>
        </w:rPr>
        <w:t>本</w:t>
      </w:r>
      <w:r>
        <w:rPr>
          <w:rFonts w:hint="eastAsia"/>
          <w:lang w:eastAsia="zh-CN"/>
        </w:rPr>
        <w:t>文件</w:t>
      </w:r>
      <w:r>
        <w:rPr>
          <w:lang w:eastAsia="zh-CN"/>
        </w:rPr>
        <w:t>起草单位：</w:t>
      </w:r>
      <w:r>
        <w:rPr>
          <w:rFonts w:hint="eastAsia"/>
          <w:lang w:eastAsia="zh-CN"/>
        </w:rPr>
        <w:t>广东省民政厅、广东省社会组织管理局、广州社会组织研究院、广东省标准化研究院</w:t>
      </w:r>
      <w:r>
        <w:rPr>
          <w:lang w:eastAsia="zh-CN"/>
        </w:rPr>
        <w:t>。</w:t>
      </w:r>
    </w:p>
    <w:p>
      <w:pPr>
        <w:pStyle w:val="9"/>
        <w:ind w:left="0" w:firstLine="420" w:firstLineChars="200"/>
        <w:rPr>
          <w:lang w:eastAsia="zh-CN"/>
        </w:rPr>
      </w:pPr>
      <w:r>
        <w:rPr>
          <w:lang w:eastAsia="zh-CN"/>
        </w:rPr>
        <w:t>本</w:t>
      </w:r>
      <w:r>
        <w:rPr>
          <w:rFonts w:hint="eastAsia"/>
          <w:lang w:eastAsia="zh-CN"/>
        </w:rPr>
        <w:t>文件</w:t>
      </w:r>
      <w:r>
        <w:rPr>
          <w:lang w:eastAsia="zh-CN"/>
        </w:rPr>
        <w:t>主要起草人：</w:t>
      </w:r>
      <w:r>
        <w:rPr>
          <w:rFonts w:hint="eastAsia"/>
          <w:lang w:eastAsia="zh-CN"/>
        </w:rPr>
        <w:t>***</w:t>
      </w:r>
      <w:r>
        <w:rPr>
          <w:lang w:eastAsia="zh-CN"/>
        </w:rPr>
        <w:t>。</w:t>
      </w:r>
    </w:p>
    <w:p>
      <w:pPr>
        <w:pStyle w:val="9"/>
        <w:ind w:left="0" w:firstLine="420" w:firstLineChars="200"/>
        <w:rPr>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rPr>
          <w:rFonts w:ascii="宋体" w:hAnsi="宋体" w:cs="宋体"/>
          <w:sz w:val="20"/>
          <w:szCs w:val="20"/>
          <w:lang w:eastAsia="zh-CN"/>
        </w:rPr>
      </w:pPr>
    </w:p>
    <w:p>
      <w:pPr>
        <w:spacing w:before="1"/>
        <w:rPr>
          <w:rFonts w:ascii="宋体" w:hAnsi="宋体" w:cs="宋体"/>
          <w:sz w:val="15"/>
          <w:szCs w:val="15"/>
          <w:lang w:eastAsia="zh-CN"/>
        </w:rPr>
      </w:pPr>
    </w:p>
    <w:p>
      <w:pPr>
        <w:jc w:val="right"/>
        <w:rPr>
          <w:rFonts w:eastAsia="Times New Roman"/>
          <w:sz w:val="18"/>
          <w:szCs w:val="18"/>
          <w:lang w:eastAsia="zh-CN"/>
        </w:rPr>
        <w:sectPr>
          <w:footerReference r:id="rId10" w:type="default"/>
          <w:headerReference r:id="rId9" w:type="even"/>
          <w:footerReference r:id="rId11" w:type="even"/>
          <w:pgSz w:w="11910" w:h="16840"/>
          <w:pgMar w:top="1417" w:right="1134" w:bottom="1134" w:left="1418" w:header="1418" w:footer="1134" w:gutter="0"/>
          <w:pgNumType w:fmt="upperRoman" w:start="3"/>
          <w:cols w:space="720" w:num="1"/>
          <w:docGrid w:linePitch="299" w:charSpace="0"/>
        </w:sectPr>
      </w:pPr>
    </w:p>
    <w:p>
      <w:pPr>
        <w:pStyle w:val="52"/>
      </w:pPr>
      <w:bookmarkStart w:id="5" w:name="_品牌社会组织评价指标"/>
      <w:bookmarkEnd w:id="5"/>
      <w:r>
        <w:rPr>
          <w:rFonts w:hint="eastAsia"/>
        </w:rPr>
        <w:t>社会组织能力建设指南</w:t>
      </w:r>
    </w:p>
    <w:p>
      <w:pPr>
        <w:pStyle w:val="34"/>
        <w:ind w:left="15" w:hanging="14" w:hangingChars="7"/>
      </w:pPr>
      <w:bookmarkStart w:id="6" w:name="_bookmark0"/>
      <w:bookmarkEnd w:id="6"/>
      <w:bookmarkStart w:id="7" w:name="_Toc515455194"/>
      <w:bookmarkStart w:id="8" w:name="_Toc522179635"/>
      <w:bookmarkStart w:id="9" w:name="_Toc5699797"/>
      <w:bookmarkStart w:id="10" w:name="_Toc5699452"/>
      <w:bookmarkStart w:id="11" w:name="_Toc519156435"/>
      <w:bookmarkStart w:id="12" w:name="fanwei"/>
      <w:r>
        <w:rPr>
          <w:rFonts w:hint="eastAsia"/>
        </w:rPr>
        <w:t>范围</w:t>
      </w:r>
      <w:bookmarkEnd w:id="7"/>
      <w:bookmarkEnd w:id="8"/>
      <w:bookmarkEnd w:id="9"/>
      <w:bookmarkEnd w:id="10"/>
      <w:bookmarkEnd w:id="11"/>
    </w:p>
    <w:bookmarkEnd w:id="12"/>
    <w:p>
      <w:pPr>
        <w:pStyle w:val="9"/>
        <w:ind w:left="0" w:firstLine="420" w:firstLineChars="200"/>
        <w:jc w:val="both"/>
        <w:rPr>
          <w:lang w:eastAsia="zh-CN"/>
        </w:rPr>
      </w:pPr>
      <w:r>
        <w:rPr>
          <w:rFonts w:hint="eastAsia"/>
          <w:lang w:eastAsia="zh-CN"/>
        </w:rPr>
        <w:t>本文件</w:t>
      </w:r>
      <w:r>
        <w:rPr>
          <w:lang w:eastAsia="zh-CN"/>
        </w:rPr>
        <w:t>规定了</w:t>
      </w:r>
      <w:r>
        <w:rPr>
          <w:rFonts w:hint="eastAsia"/>
          <w:lang w:eastAsia="zh-CN"/>
        </w:rPr>
        <w:t>社会组织能力建设的术语和定义、基本原则、目标、主要内容和实施路径</w:t>
      </w:r>
      <w:r>
        <w:rPr>
          <w:lang w:eastAsia="zh-CN"/>
        </w:rPr>
        <w:t>。</w:t>
      </w:r>
    </w:p>
    <w:p>
      <w:pPr>
        <w:pStyle w:val="9"/>
        <w:ind w:left="0" w:firstLine="420" w:firstLineChars="200"/>
        <w:jc w:val="both"/>
        <w:rPr>
          <w:lang w:eastAsia="zh-CN"/>
        </w:rPr>
      </w:pPr>
      <w:r>
        <w:rPr>
          <w:rFonts w:hint="eastAsia"/>
          <w:lang w:eastAsia="zh-CN"/>
        </w:rPr>
        <w:t>本文件</w:t>
      </w:r>
      <w:r>
        <w:rPr>
          <w:lang w:eastAsia="zh-CN"/>
        </w:rPr>
        <w:t>适用于</w:t>
      </w:r>
      <w:r>
        <w:rPr>
          <w:rFonts w:hint="eastAsia"/>
          <w:lang w:eastAsia="zh-CN"/>
        </w:rPr>
        <w:t>广东省行政区域内社会组织能力建设</w:t>
      </w:r>
      <w:r>
        <w:rPr>
          <w:lang w:eastAsia="zh-CN"/>
        </w:rPr>
        <w:t>工作。</w:t>
      </w:r>
    </w:p>
    <w:p>
      <w:pPr>
        <w:pStyle w:val="34"/>
        <w:ind w:left="9355" w:hanging="9355" w:hangingChars="4455"/>
      </w:pPr>
      <w:bookmarkStart w:id="13" w:name="_bookmark1"/>
      <w:bookmarkEnd w:id="13"/>
      <w:bookmarkStart w:id="14" w:name="_Toc5699798"/>
      <w:bookmarkStart w:id="15" w:name="_Toc5699453"/>
      <w:bookmarkStart w:id="16" w:name="guifanxing"/>
      <w:r>
        <w:rPr>
          <w:rFonts w:hint="eastAsia"/>
        </w:rPr>
        <w:t>规范性引用文件</w:t>
      </w:r>
      <w:bookmarkEnd w:id="14"/>
      <w:bookmarkEnd w:id="15"/>
    </w:p>
    <w:bookmarkEnd w:id="16"/>
    <w:p>
      <w:pPr>
        <w:autoSpaceDE w:val="0"/>
        <w:autoSpaceDN w:val="0"/>
        <w:adjustRightInd w:val="0"/>
        <w:ind w:firstLine="420" w:firstLineChars="200"/>
        <w:rPr>
          <w:rFonts w:ascii="宋体" w:hAnsi="宋体" w:cs="宋体"/>
          <w:sz w:val="21"/>
          <w:szCs w:val="21"/>
          <w:lang w:eastAsia="zh-CN"/>
        </w:rPr>
      </w:pPr>
      <w:r>
        <w:rPr>
          <w:rFonts w:hint="eastAsia" w:ascii="宋体" w:hAnsi="宋体" w:cs="宋体"/>
          <w:sz w:val="21"/>
          <w:szCs w:val="21"/>
          <w:lang w:eastAsia="zh-CN"/>
        </w:rPr>
        <w:t>本文件没有规范性引用文件。</w:t>
      </w:r>
    </w:p>
    <w:p>
      <w:pPr>
        <w:pStyle w:val="34"/>
        <w:ind w:left="9355" w:hanging="9355" w:hangingChars="4455"/>
      </w:pPr>
      <w:bookmarkStart w:id="17" w:name="_bookmark2"/>
      <w:bookmarkEnd w:id="17"/>
      <w:bookmarkStart w:id="18" w:name="_Toc5699799"/>
      <w:bookmarkStart w:id="19" w:name="_Toc5699454"/>
      <w:bookmarkStart w:id="20" w:name="shuyuhedingyi"/>
      <w:r>
        <w:t>术语和定义</w:t>
      </w:r>
      <w:bookmarkEnd w:id="18"/>
      <w:bookmarkEnd w:id="19"/>
    </w:p>
    <w:bookmarkEnd w:id="20"/>
    <w:p>
      <w:pPr>
        <w:pStyle w:val="9"/>
        <w:ind w:left="0" w:firstLine="420" w:firstLineChars="200"/>
        <w:jc w:val="both"/>
        <w:rPr>
          <w:lang w:eastAsia="zh-CN"/>
        </w:rPr>
      </w:pPr>
      <w:r>
        <w:rPr>
          <w:lang w:eastAsia="zh-CN"/>
        </w:rPr>
        <w:t>下列术语和定义适用于本文件。</w:t>
      </w:r>
    </w:p>
    <w:p>
      <w:pPr>
        <w:pStyle w:val="27"/>
        <w:ind w:left="0"/>
      </w:pPr>
      <w:bookmarkStart w:id="21" w:name="_Toc5699800"/>
      <w:bookmarkEnd w:id="21"/>
      <w:bookmarkStart w:id="22" w:name="_Toc5699455"/>
      <w:bookmarkEnd w:id="22"/>
      <w:bookmarkStart w:id="23" w:name="_Toc5699107"/>
      <w:bookmarkEnd w:id="23"/>
    </w:p>
    <w:p>
      <w:pPr>
        <w:pStyle w:val="27"/>
        <w:numPr>
          <w:ilvl w:val="0"/>
          <w:numId w:val="0"/>
        </w:numPr>
        <w:ind w:firstLine="420" w:firstLineChars="200"/>
      </w:pPr>
      <w:r>
        <w:rPr>
          <w:rFonts w:hint="eastAsia"/>
        </w:rPr>
        <w:t>社会组织 social organization</w:t>
      </w:r>
    </w:p>
    <w:p>
      <w:pPr>
        <w:pStyle w:val="9"/>
        <w:ind w:left="0" w:firstLine="420" w:firstLineChars="200"/>
        <w:jc w:val="both"/>
        <w:rPr>
          <w:lang w:eastAsia="zh-CN"/>
        </w:rPr>
      </w:pPr>
      <w:r>
        <w:rPr>
          <w:rFonts w:hint="eastAsia"/>
          <w:lang w:eastAsia="zh-CN"/>
        </w:rPr>
        <w:t>本文件所称的社会组织包括社会团体、社会服务机构、基金会。</w:t>
      </w:r>
    </w:p>
    <w:p>
      <w:pPr>
        <w:pStyle w:val="27"/>
        <w:ind w:left="0"/>
      </w:pPr>
    </w:p>
    <w:p>
      <w:pPr>
        <w:pStyle w:val="27"/>
        <w:numPr>
          <w:ilvl w:val="0"/>
          <w:numId w:val="0"/>
        </w:numPr>
        <w:ind w:firstLine="420" w:firstLineChars="200"/>
      </w:pPr>
      <w:r>
        <w:rPr>
          <w:rFonts w:hint="eastAsia"/>
        </w:rPr>
        <w:t>社会团体social group</w:t>
      </w:r>
    </w:p>
    <w:p>
      <w:pPr>
        <w:pStyle w:val="9"/>
        <w:ind w:left="0" w:firstLine="420" w:firstLineChars="200"/>
        <w:jc w:val="both"/>
        <w:rPr>
          <w:lang w:eastAsia="zh-CN"/>
        </w:rPr>
      </w:pPr>
      <w:r>
        <w:rPr>
          <w:rFonts w:hint="eastAsia"/>
          <w:lang w:eastAsia="zh-CN"/>
        </w:rPr>
        <w:t>由中国</w:t>
      </w:r>
      <w:r>
        <w:rPr>
          <w:lang w:eastAsia="zh-CN"/>
        </w:rPr>
        <w:t>公民自愿组成，为实现会员共同意愿，按照其章程开展活动的非营利</w:t>
      </w:r>
      <w:r>
        <w:rPr>
          <w:rFonts w:hint="eastAsia"/>
          <w:lang w:eastAsia="zh-CN"/>
        </w:rPr>
        <w:t>法人</w:t>
      </w:r>
      <w:r>
        <w:rPr>
          <w:lang w:eastAsia="zh-CN"/>
        </w:rPr>
        <w:t>。</w:t>
      </w:r>
    </w:p>
    <w:p>
      <w:pPr>
        <w:pStyle w:val="27"/>
        <w:ind w:left="0"/>
      </w:pPr>
    </w:p>
    <w:p>
      <w:pPr>
        <w:pStyle w:val="27"/>
        <w:numPr>
          <w:ilvl w:val="0"/>
          <w:numId w:val="0"/>
        </w:numPr>
        <w:ind w:firstLine="420" w:firstLineChars="200"/>
      </w:pPr>
      <w:r>
        <w:rPr>
          <w:rFonts w:hint="eastAsia"/>
        </w:rPr>
        <w:t>社会服务机构social service organization</w:t>
      </w:r>
    </w:p>
    <w:p>
      <w:pPr>
        <w:pStyle w:val="9"/>
        <w:ind w:left="0" w:firstLine="420" w:firstLineChars="200"/>
        <w:jc w:val="both"/>
        <w:rPr>
          <w:lang w:eastAsia="zh-CN"/>
        </w:rPr>
      </w:pPr>
      <w:r>
        <w:rPr>
          <w:rFonts w:hint="eastAsia"/>
          <w:lang w:eastAsia="zh-CN"/>
        </w:rPr>
        <w:t>自然人、法人或者其他组织为了提供社会服务，主要利用非国有资产设立的非营利法人</w:t>
      </w:r>
      <w:r>
        <w:rPr>
          <w:lang w:eastAsia="zh-CN"/>
        </w:rPr>
        <w:t>。</w:t>
      </w:r>
    </w:p>
    <w:p>
      <w:pPr>
        <w:pStyle w:val="27"/>
        <w:ind w:left="0"/>
      </w:pPr>
    </w:p>
    <w:p>
      <w:pPr>
        <w:pStyle w:val="27"/>
        <w:numPr>
          <w:ilvl w:val="0"/>
          <w:numId w:val="0"/>
        </w:numPr>
        <w:ind w:firstLine="420" w:firstLineChars="200"/>
      </w:pPr>
      <w:r>
        <w:rPr>
          <w:rFonts w:hint="eastAsia"/>
        </w:rPr>
        <w:t>基金会 foundation</w:t>
      </w:r>
    </w:p>
    <w:p>
      <w:pPr>
        <w:pStyle w:val="9"/>
        <w:ind w:left="0" w:firstLine="420" w:firstLineChars="200"/>
        <w:jc w:val="both"/>
        <w:rPr>
          <w:lang w:eastAsia="zh-CN"/>
        </w:rPr>
      </w:pPr>
      <w:r>
        <w:rPr>
          <w:lang w:eastAsia="zh-CN"/>
        </w:rPr>
        <w:t>利用自然人、法人或者其他组织捐赠的财产，以从事公益事业为目的，</w:t>
      </w:r>
      <w:r>
        <w:rPr>
          <w:rFonts w:hint="eastAsia"/>
          <w:lang w:eastAsia="zh-CN"/>
        </w:rPr>
        <w:t>依法</w:t>
      </w:r>
      <w:r>
        <w:rPr>
          <w:lang w:eastAsia="zh-CN"/>
        </w:rPr>
        <w:t>成立</w:t>
      </w:r>
      <w:r>
        <w:rPr>
          <w:rFonts w:hint="eastAsia"/>
          <w:lang w:eastAsia="zh-CN"/>
        </w:rPr>
        <w:t>，</w:t>
      </w:r>
      <w:r>
        <w:rPr>
          <w:lang w:eastAsia="zh-CN"/>
        </w:rPr>
        <w:t>按照其章程开展活动的非营利法人。</w:t>
      </w:r>
    </w:p>
    <w:p>
      <w:pPr>
        <w:pStyle w:val="27"/>
        <w:ind w:left="0"/>
      </w:pPr>
      <w:bookmarkStart w:id="24" w:name="_Toc5699456"/>
      <w:bookmarkEnd w:id="24"/>
      <w:bookmarkStart w:id="25" w:name="_Toc5699801"/>
      <w:bookmarkEnd w:id="25"/>
      <w:bookmarkStart w:id="26" w:name="_Toc5699108"/>
      <w:bookmarkEnd w:id="26"/>
    </w:p>
    <w:p>
      <w:pPr>
        <w:pStyle w:val="27"/>
        <w:numPr>
          <w:ilvl w:val="0"/>
          <w:numId w:val="0"/>
        </w:numPr>
        <w:ind w:firstLine="420" w:firstLineChars="200"/>
      </w:pPr>
      <w:r>
        <w:rPr>
          <w:rFonts w:hint="eastAsia"/>
        </w:rPr>
        <w:t>社会组织能力 social organization</w:t>
      </w:r>
      <w:r>
        <w:t>’</w:t>
      </w:r>
      <w:r>
        <w:rPr>
          <w:rFonts w:hint="eastAsia"/>
        </w:rPr>
        <w:t>s capacity</w:t>
      </w:r>
    </w:p>
    <w:p>
      <w:pPr>
        <w:pStyle w:val="9"/>
        <w:ind w:left="0" w:firstLine="420" w:firstLineChars="200"/>
        <w:jc w:val="both"/>
        <w:rPr>
          <w:lang w:eastAsia="zh-CN"/>
        </w:rPr>
      </w:pPr>
      <w:r>
        <w:rPr>
          <w:rFonts w:hint="eastAsia"/>
          <w:lang w:eastAsia="zh-CN"/>
        </w:rPr>
        <w:t>社会组织基于自身使命、愿景和目标，通过获取生存、成长和发展所必须的资源，在满足社会需求、解决社会问题以及</w:t>
      </w:r>
      <w:r>
        <w:rPr>
          <w:lang w:eastAsia="zh-CN"/>
        </w:rPr>
        <w:t>服务国家、服务社会、服务群众、服务行业过程中所</w:t>
      </w:r>
      <w:r>
        <w:rPr>
          <w:rFonts w:hint="eastAsia"/>
          <w:lang w:eastAsia="zh-CN"/>
        </w:rPr>
        <w:t>表现</w:t>
      </w:r>
      <w:r>
        <w:rPr>
          <w:lang w:eastAsia="zh-CN"/>
        </w:rPr>
        <w:t>出来</w:t>
      </w:r>
      <w:r>
        <w:rPr>
          <w:rFonts w:hint="eastAsia"/>
          <w:lang w:eastAsia="zh-CN"/>
        </w:rPr>
        <w:t>的真实绩效水平和综合影响力。</w:t>
      </w:r>
    </w:p>
    <w:p>
      <w:pPr>
        <w:pStyle w:val="27"/>
        <w:ind w:left="0"/>
      </w:pPr>
    </w:p>
    <w:p>
      <w:pPr>
        <w:pStyle w:val="27"/>
        <w:numPr>
          <w:ilvl w:val="0"/>
          <w:numId w:val="0"/>
        </w:numPr>
        <w:ind w:firstLine="420" w:firstLineChars="200"/>
      </w:pPr>
      <w:r>
        <w:rPr>
          <w:rFonts w:hint="eastAsia"/>
        </w:rPr>
        <w:t>社会组织能力建设 capacity building for social organization</w:t>
      </w:r>
    </w:p>
    <w:p>
      <w:pPr>
        <w:pStyle w:val="9"/>
        <w:ind w:left="0" w:firstLine="420" w:firstLineChars="200"/>
        <w:jc w:val="both"/>
        <w:rPr>
          <w:lang w:eastAsia="zh-CN"/>
        </w:rPr>
      </w:pPr>
      <w:r>
        <w:rPr>
          <w:rFonts w:hint="eastAsia"/>
          <w:lang w:eastAsia="zh-CN"/>
        </w:rPr>
        <w:t>为实现社会组织高质量发展，政府部门、枢纽型社会组织、高校、科研院所、第三方专业服务机构、社会组织内部等能力建设主体面向社会组织及其相关人员所开展的具有系统性、针对性、持续性的专业能力提升活动。</w:t>
      </w:r>
    </w:p>
    <w:p>
      <w:pPr>
        <w:pStyle w:val="34"/>
        <w:ind w:left="9355" w:hanging="9355" w:hangingChars="4455"/>
      </w:pPr>
      <w:r>
        <w:rPr>
          <w:rFonts w:hint="eastAsia"/>
        </w:rPr>
        <w:t>社会组织分类</w:t>
      </w:r>
    </w:p>
    <w:p>
      <w:pPr>
        <w:pStyle w:val="27"/>
        <w:ind w:left="0"/>
      </w:pPr>
      <w:r>
        <w:rPr>
          <w:rFonts w:hint="eastAsia"/>
        </w:rPr>
        <w:t>分类原则</w:t>
      </w:r>
    </w:p>
    <w:p>
      <w:pPr>
        <w:pStyle w:val="9"/>
        <w:ind w:left="0" w:firstLine="420" w:firstLineChars="200"/>
        <w:jc w:val="both"/>
        <w:rPr>
          <w:lang w:eastAsia="zh-CN"/>
        </w:rPr>
      </w:pPr>
      <w:r>
        <w:rPr>
          <w:rFonts w:hint="eastAsia"/>
          <w:lang w:eastAsia="zh-CN"/>
        </w:rPr>
        <w:t>在社会组织基本组织形式的基础上，按照工作领域类型进行分类。</w:t>
      </w:r>
    </w:p>
    <w:p>
      <w:pPr>
        <w:pStyle w:val="27"/>
        <w:ind w:left="0"/>
      </w:pPr>
      <w:r>
        <w:rPr>
          <w:rFonts w:hint="eastAsia"/>
        </w:rPr>
        <w:t>分类类别</w:t>
      </w:r>
    </w:p>
    <w:p>
      <w:pPr>
        <w:pStyle w:val="40"/>
        <w:ind w:left="0"/>
      </w:pPr>
      <w:r>
        <w:rPr>
          <w:rFonts w:hint="eastAsia"/>
        </w:rPr>
        <w:t>公益慈善类社会组织</w:t>
      </w:r>
    </w:p>
    <w:p>
      <w:pPr>
        <w:ind w:firstLine="420" w:firstLineChars="200"/>
        <w:jc w:val="both"/>
        <w:rPr>
          <w:rFonts w:ascii="宋体" w:hAnsi="宋体"/>
          <w:sz w:val="21"/>
          <w:szCs w:val="21"/>
          <w:lang w:eastAsia="zh-CN"/>
        </w:rPr>
      </w:pPr>
      <w:r>
        <w:rPr>
          <w:rFonts w:hint="eastAsia" w:ascii="宋体" w:hAnsi="宋体"/>
          <w:sz w:val="21"/>
          <w:szCs w:val="21"/>
          <w:lang w:eastAsia="zh-CN"/>
        </w:rPr>
        <w:t>主要</w:t>
      </w:r>
      <w:r>
        <w:rPr>
          <w:rFonts w:ascii="宋体" w:hAnsi="宋体"/>
          <w:sz w:val="21"/>
          <w:szCs w:val="21"/>
          <w:lang w:eastAsia="zh-CN"/>
        </w:rPr>
        <w:t>提供扶贫、济困、扶老、救孤、恤病、助残、救灾、助医、助学服务</w:t>
      </w:r>
      <w:r>
        <w:rPr>
          <w:rFonts w:hint="eastAsia" w:ascii="宋体" w:hAnsi="宋体"/>
          <w:sz w:val="21"/>
          <w:szCs w:val="21"/>
          <w:lang w:eastAsia="zh-CN"/>
        </w:rPr>
        <w:t>。可以采取社会团体、社会服务机构、基金会等组织形式。</w:t>
      </w:r>
      <w:r>
        <w:rPr>
          <w:rFonts w:ascii="宋体" w:hAnsi="宋体"/>
          <w:sz w:val="21"/>
          <w:szCs w:val="21"/>
          <w:lang w:eastAsia="zh-CN"/>
        </w:rPr>
        <w:t>应遵照</w:t>
      </w:r>
      <w:r>
        <w:rPr>
          <w:rFonts w:hint="eastAsia" w:ascii="宋体" w:hAnsi="宋体"/>
          <w:sz w:val="21"/>
          <w:szCs w:val="21"/>
          <w:lang w:eastAsia="zh-CN"/>
        </w:rPr>
        <w:t>《中华人民共和国慈善法》等法律法规开展工作。</w:t>
      </w:r>
    </w:p>
    <w:p>
      <w:pPr>
        <w:pStyle w:val="40"/>
        <w:ind w:left="0"/>
      </w:pPr>
      <w:r>
        <w:rPr>
          <w:rFonts w:hint="eastAsia"/>
        </w:rPr>
        <w:t>志愿服务组织</w:t>
      </w:r>
    </w:p>
    <w:p>
      <w:pPr>
        <w:ind w:firstLine="420" w:firstLineChars="200"/>
        <w:jc w:val="both"/>
        <w:rPr>
          <w:rFonts w:ascii="宋体" w:hAnsi="宋体"/>
          <w:sz w:val="21"/>
          <w:szCs w:val="21"/>
          <w:lang w:eastAsia="zh-CN"/>
        </w:rPr>
      </w:pPr>
      <w:r>
        <w:rPr>
          <w:rFonts w:ascii="宋体" w:hAnsi="宋体"/>
          <w:sz w:val="21"/>
          <w:szCs w:val="21"/>
          <w:lang w:eastAsia="zh-CN"/>
        </w:rPr>
        <w:t>以开展志愿服务为宗旨</w:t>
      </w:r>
      <w:r>
        <w:rPr>
          <w:rFonts w:hint="eastAsia" w:ascii="宋体" w:hAnsi="宋体"/>
          <w:sz w:val="21"/>
          <w:szCs w:val="21"/>
          <w:lang w:eastAsia="zh-CN"/>
        </w:rPr>
        <w:t>。可以采取社会团体、社会服务机构、基金会等组织形式。</w:t>
      </w:r>
      <w:r>
        <w:rPr>
          <w:rFonts w:ascii="宋体" w:hAnsi="宋体"/>
          <w:sz w:val="21"/>
          <w:szCs w:val="21"/>
          <w:lang w:eastAsia="zh-CN"/>
        </w:rPr>
        <w:t>遵照</w:t>
      </w:r>
      <w:r>
        <w:rPr>
          <w:rFonts w:hint="eastAsia" w:ascii="宋体" w:hAnsi="宋体"/>
          <w:sz w:val="21"/>
          <w:szCs w:val="21"/>
          <w:lang w:eastAsia="zh-CN"/>
        </w:rPr>
        <w:t>《志愿服务条例》《广东省志愿服务条例》等法规开展工作。</w:t>
      </w:r>
    </w:p>
    <w:p>
      <w:pPr>
        <w:pStyle w:val="40"/>
        <w:ind w:left="0"/>
      </w:pPr>
      <w:r>
        <w:rPr>
          <w:rFonts w:hint="eastAsia"/>
        </w:rPr>
        <w:t>社会工作服务机构</w:t>
      </w:r>
    </w:p>
    <w:p>
      <w:pPr>
        <w:ind w:firstLine="420" w:firstLineChars="200"/>
        <w:jc w:val="both"/>
        <w:rPr>
          <w:rFonts w:ascii="宋体" w:hAnsi="宋体"/>
          <w:sz w:val="21"/>
          <w:szCs w:val="21"/>
          <w:lang w:eastAsia="zh-CN"/>
        </w:rPr>
      </w:pPr>
      <w:r>
        <w:rPr>
          <w:rFonts w:ascii="宋体" w:hAnsi="宋体"/>
          <w:sz w:val="21"/>
          <w:szCs w:val="21"/>
          <w:lang w:eastAsia="zh-CN"/>
        </w:rPr>
        <w:t>运用社会工作专业知识、方法和技能，为有需要的个人、家庭、社区、单位等提供多元化服务</w:t>
      </w:r>
      <w:r>
        <w:rPr>
          <w:rFonts w:hint="eastAsia" w:ascii="宋体" w:hAnsi="宋体"/>
          <w:sz w:val="21"/>
          <w:szCs w:val="21"/>
          <w:lang w:eastAsia="zh-CN"/>
        </w:rPr>
        <w:t>。可以采取社会服务机构等组织形式。</w:t>
      </w:r>
    </w:p>
    <w:p>
      <w:pPr>
        <w:pStyle w:val="40"/>
        <w:ind w:left="0"/>
      </w:pPr>
      <w:r>
        <w:rPr>
          <w:rFonts w:hint="eastAsia"/>
        </w:rPr>
        <w:t>行业协会商会</w:t>
      </w:r>
    </w:p>
    <w:p>
      <w:pPr>
        <w:ind w:firstLine="420" w:firstLineChars="200"/>
        <w:jc w:val="both"/>
        <w:rPr>
          <w:rFonts w:ascii="宋体" w:hAnsi="宋体"/>
          <w:sz w:val="21"/>
          <w:szCs w:val="21"/>
          <w:lang w:eastAsia="zh-CN"/>
        </w:rPr>
      </w:pPr>
      <w:r>
        <w:rPr>
          <w:rFonts w:hint="eastAsia" w:ascii="宋体" w:hAnsi="宋体"/>
          <w:sz w:val="21"/>
          <w:szCs w:val="21"/>
          <w:lang w:eastAsia="zh-CN"/>
        </w:rPr>
        <w:t>由从事相同性质经济活动的经济组织、同业人员，或同地域的经济组织</w:t>
      </w:r>
      <w:r>
        <w:rPr>
          <w:rFonts w:ascii="宋体" w:hAnsi="宋体"/>
          <w:sz w:val="21"/>
          <w:szCs w:val="21"/>
          <w:lang w:eastAsia="zh-CN"/>
        </w:rPr>
        <w:t>为维护会员共同利益自愿组成</w:t>
      </w:r>
      <w:r>
        <w:rPr>
          <w:rFonts w:hint="eastAsia" w:ascii="宋体" w:hAnsi="宋体"/>
          <w:sz w:val="21"/>
          <w:szCs w:val="21"/>
          <w:lang w:eastAsia="zh-CN"/>
        </w:rPr>
        <w:t>，</w:t>
      </w:r>
      <w:r>
        <w:rPr>
          <w:rFonts w:ascii="宋体" w:hAnsi="宋体"/>
          <w:sz w:val="21"/>
          <w:szCs w:val="21"/>
          <w:lang w:eastAsia="zh-CN"/>
        </w:rPr>
        <w:t>从事行业自律、行业服务、行业培训、行业交流等活动</w:t>
      </w:r>
      <w:r>
        <w:rPr>
          <w:rFonts w:hint="eastAsia" w:ascii="宋体" w:hAnsi="宋体"/>
          <w:sz w:val="21"/>
          <w:szCs w:val="21"/>
          <w:lang w:eastAsia="zh-CN"/>
        </w:rPr>
        <w:t>。可以采取</w:t>
      </w:r>
      <w:r>
        <w:rPr>
          <w:rFonts w:ascii="宋体" w:hAnsi="宋体"/>
          <w:sz w:val="21"/>
          <w:szCs w:val="21"/>
          <w:lang w:eastAsia="zh-CN"/>
        </w:rPr>
        <w:t>社会团体</w:t>
      </w:r>
      <w:r>
        <w:rPr>
          <w:rFonts w:hint="eastAsia" w:ascii="宋体" w:hAnsi="宋体"/>
          <w:sz w:val="21"/>
          <w:szCs w:val="21"/>
          <w:lang w:eastAsia="zh-CN"/>
        </w:rPr>
        <w:t>等组织形式</w:t>
      </w:r>
      <w:r>
        <w:rPr>
          <w:rFonts w:ascii="宋体" w:hAnsi="宋体"/>
          <w:sz w:val="21"/>
          <w:szCs w:val="21"/>
          <w:lang w:eastAsia="zh-CN"/>
        </w:rPr>
        <w:t>。</w:t>
      </w:r>
    </w:p>
    <w:p>
      <w:pPr>
        <w:pStyle w:val="40"/>
        <w:ind w:left="0"/>
      </w:pPr>
      <w:r>
        <w:rPr>
          <w:rFonts w:hint="eastAsia"/>
        </w:rPr>
        <w:t>科学研究类、智库类社会组织</w:t>
      </w:r>
    </w:p>
    <w:p>
      <w:pPr>
        <w:ind w:firstLine="420" w:firstLineChars="200"/>
        <w:jc w:val="both"/>
        <w:rPr>
          <w:rFonts w:ascii="宋体" w:hAnsi="宋体"/>
          <w:sz w:val="21"/>
          <w:szCs w:val="21"/>
          <w:lang w:eastAsia="zh-CN"/>
        </w:rPr>
      </w:pPr>
      <w:r>
        <w:rPr>
          <w:rFonts w:ascii="宋体" w:hAnsi="宋体"/>
          <w:sz w:val="21"/>
          <w:szCs w:val="21"/>
          <w:lang w:eastAsia="zh-CN"/>
        </w:rPr>
        <w:t>在自然科学和工程技术领域、</w:t>
      </w:r>
      <w:r>
        <w:rPr>
          <w:rFonts w:hint="eastAsia" w:ascii="宋体" w:hAnsi="宋体"/>
          <w:sz w:val="21"/>
          <w:szCs w:val="21"/>
          <w:lang w:eastAsia="zh-CN"/>
        </w:rPr>
        <w:t>人文社科</w:t>
      </w:r>
      <w:r>
        <w:rPr>
          <w:rFonts w:ascii="宋体" w:hAnsi="宋体"/>
          <w:sz w:val="21"/>
          <w:szCs w:val="21"/>
          <w:lang w:eastAsia="zh-CN"/>
        </w:rPr>
        <w:t>领域内从事学术研究</w:t>
      </w:r>
      <w:r>
        <w:rPr>
          <w:rFonts w:hint="eastAsia" w:ascii="宋体" w:hAnsi="宋体"/>
          <w:sz w:val="21"/>
          <w:szCs w:val="21"/>
          <w:lang w:eastAsia="zh-CN"/>
        </w:rPr>
        <w:t>、</w:t>
      </w:r>
      <w:r>
        <w:rPr>
          <w:rFonts w:ascii="宋体" w:hAnsi="宋体"/>
          <w:sz w:val="21"/>
          <w:szCs w:val="21"/>
          <w:lang w:eastAsia="zh-CN"/>
        </w:rPr>
        <w:t>决策咨询和交流活动</w:t>
      </w:r>
      <w:r>
        <w:rPr>
          <w:rFonts w:hint="eastAsia" w:ascii="宋体" w:hAnsi="宋体"/>
          <w:sz w:val="21"/>
          <w:szCs w:val="21"/>
          <w:lang w:eastAsia="zh-CN"/>
        </w:rPr>
        <w:t>。可以采取社会团体、社会服务机构、基金会等组织形式。</w:t>
      </w:r>
    </w:p>
    <w:p>
      <w:pPr>
        <w:pStyle w:val="40"/>
        <w:ind w:left="0"/>
      </w:pPr>
      <w:r>
        <w:rPr>
          <w:rFonts w:hint="eastAsia"/>
        </w:rPr>
        <w:t>养老托育、卫生健康、残疾人康复类社会组织</w:t>
      </w:r>
    </w:p>
    <w:p>
      <w:pPr>
        <w:ind w:firstLine="420" w:firstLineChars="200"/>
        <w:jc w:val="both"/>
        <w:rPr>
          <w:rFonts w:ascii="宋体" w:hAnsi="宋体"/>
          <w:sz w:val="21"/>
          <w:szCs w:val="21"/>
          <w:lang w:eastAsia="zh-CN"/>
        </w:rPr>
      </w:pPr>
      <w:r>
        <w:rPr>
          <w:rFonts w:hint="eastAsia" w:ascii="宋体" w:hAnsi="宋体"/>
          <w:sz w:val="21"/>
          <w:szCs w:val="21"/>
          <w:lang w:eastAsia="zh-CN"/>
        </w:rPr>
        <w:t>面向老年人、</w:t>
      </w:r>
      <w:r>
        <w:rPr>
          <w:rFonts w:ascii="宋体" w:hAnsi="宋体"/>
          <w:sz w:val="21"/>
          <w:szCs w:val="21"/>
          <w:lang w:eastAsia="zh-CN"/>
        </w:rPr>
        <w:t>婴幼儿</w:t>
      </w:r>
      <w:r>
        <w:rPr>
          <w:rFonts w:hint="eastAsia" w:ascii="宋体" w:hAnsi="宋体"/>
          <w:sz w:val="21"/>
          <w:szCs w:val="21"/>
          <w:lang w:eastAsia="zh-CN"/>
        </w:rPr>
        <w:t>、残疾人以及社区居民等提供成本可负担、方便可及的各类普惠性、专业性服务。可以采取社会团体、社会服务机构、基金会等组织形式。</w:t>
      </w:r>
    </w:p>
    <w:p>
      <w:pPr>
        <w:pStyle w:val="40"/>
        <w:ind w:left="0"/>
      </w:pPr>
      <w:r>
        <w:rPr>
          <w:rFonts w:hint="eastAsia"/>
        </w:rPr>
        <w:t>非营利性民办学校</w:t>
      </w:r>
    </w:p>
    <w:p>
      <w:pPr>
        <w:ind w:firstLine="420" w:firstLineChars="200"/>
        <w:jc w:val="both"/>
        <w:rPr>
          <w:rFonts w:ascii="宋体" w:hAnsi="宋体"/>
          <w:sz w:val="21"/>
          <w:szCs w:val="21"/>
          <w:lang w:eastAsia="zh-CN"/>
        </w:rPr>
      </w:pPr>
      <w:r>
        <w:rPr>
          <w:rFonts w:hint="eastAsia" w:ascii="宋体" w:hAnsi="宋体"/>
          <w:sz w:val="21"/>
          <w:szCs w:val="21"/>
          <w:lang w:eastAsia="zh-CN"/>
        </w:rPr>
        <w:t>根据《</w:t>
      </w:r>
      <w:r>
        <w:rPr>
          <w:rFonts w:ascii="宋体" w:hAnsi="宋体"/>
          <w:sz w:val="21"/>
          <w:szCs w:val="21"/>
          <w:lang w:eastAsia="zh-CN"/>
        </w:rPr>
        <w:t>中华人民共和国民办教育促进法</w:t>
      </w:r>
      <w:r>
        <w:rPr>
          <w:rFonts w:hint="eastAsia" w:ascii="宋体" w:hAnsi="宋体"/>
          <w:sz w:val="21"/>
          <w:szCs w:val="21"/>
          <w:lang w:eastAsia="zh-CN"/>
        </w:rPr>
        <w:t>》等法律法规设立，包括</w:t>
      </w:r>
      <w:r>
        <w:rPr>
          <w:rFonts w:ascii="宋体" w:hAnsi="宋体"/>
          <w:sz w:val="21"/>
          <w:szCs w:val="21"/>
          <w:lang w:eastAsia="zh-CN"/>
        </w:rPr>
        <w:t>举办实施学历教育、学前教育、自学考试助学及其他文化教育的民办学校</w:t>
      </w:r>
      <w:r>
        <w:rPr>
          <w:rFonts w:hint="eastAsia" w:ascii="宋体" w:hAnsi="宋体"/>
          <w:sz w:val="21"/>
          <w:szCs w:val="21"/>
          <w:lang w:eastAsia="zh-CN"/>
        </w:rPr>
        <w:t>，以及</w:t>
      </w:r>
      <w:r>
        <w:rPr>
          <w:rFonts w:ascii="宋体" w:hAnsi="宋体"/>
          <w:sz w:val="21"/>
          <w:szCs w:val="21"/>
          <w:lang w:eastAsia="zh-CN"/>
        </w:rPr>
        <w:t>举办实施以职业技能为主的职业资格培训、职业技能培训的民办学校</w:t>
      </w:r>
      <w:r>
        <w:rPr>
          <w:rFonts w:hint="eastAsia" w:ascii="宋体" w:hAnsi="宋体"/>
          <w:sz w:val="21"/>
          <w:szCs w:val="21"/>
          <w:lang w:eastAsia="zh-CN"/>
        </w:rPr>
        <w:t>。可以采取社会服务机构等组织形式。</w:t>
      </w:r>
    </w:p>
    <w:p>
      <w:pPr>
        <w:pStyle w:val="40"/>
        <w:ind w:left="0"/>
      </w:pPr>
      <w:r>
        <w:rPr>
          <w:rFonts w:hint="eastAsia"/>
        </w:rPr>
        <w:t>文化艺术类、体育类社会组织</w:t>
      </w:r>
    </w:p>
    <w:p>
      <w:pPr>
        <w:ind w:firstLine="420" w:firstLineChars="200"/>
        <w:jc w:val="both"/>
        <w:rPr>
          <w:rFonts w:ascii="宋体" w:hAnsi="宋体"/>
          <w:sz w:val="21"/>
          <w:szCs w:val="21"/>
          <w:lang w:eastAsia="zh-CN"/>
        </w:rPr>
      </w:pPr>
      <w:r>
        <w:rPr>
          <w:rFonts w:hint="eastAsia" w:ascii="宋体" w:hAnsi="宋体"/>
          <w:sz w:val="21"/>
          <w:szCs w:val="21"/>
          <w:lang w:eastAsia="zh-CN"/>
        </w:rPr>
        <w:t>以促进文化艺术事业发展、</w:t>
      </w:r>
      <w:r>
        <w:rPr>
          <w:rFonts w:ascii="宋体" w:hAnsi="宋体"/>
          <w:sz w:val="21"/>
          <w:szCs w:val="21"/>
          <w:lang w:eastAsia="zh-CN"/>
        </w:rPr>
        <w:t>丰富群众精神文化生活</w:t>
      </w:r>
      <w:r>
        <w:rPr>
          <w:rFonts w:hint="eastAsia" w:ascii="宋体" w:hAnsi="宋体"/>
          <w:sz w:val="21"/>
          <w:szCs w:val="21"/>
          <w:lang w:eastAsia="zh-CN"/>
        </w:rPr>
        <w:t>，</w:t>
      </w:r>
      <w:r>
        <w:rPr>
          <w:rFonts w:ascii="宋体" w:hAnsi="宋体"/>
          <w:sz w:val="21"/>
          <w:szCs w:val="21"/>
          <w:lang w:eastAsia="zh-CN"/>
        </w:rPr>
        <w:t>繁荣社会体育和群众体育</w:t>
      </w:r>
      <w:r>
        <w:rPr>
          <w:rFonts w:hint="eastAsia" w:ascii="宋体" w:hAnsi="宋体"/>
          <w:sz w:val="21"/>
          <w:szCs w:val="21"/>
          <w:lang w:eastAsia="zh-CN"/>
        </w:rPr>
        <w:t>、提高</w:t>
      </w:r>
      <w:r>
        <w:rPr>
          <w:rFonts w:ascii="宋体" w:hAnsi="宋体"/>
          <w:sz w:val="21"/>
          <w:szCs w:val="21"/>
          <w:lang w:eastAsia="zh-CN"/>
        </w:rPr>
        <w:t>全民健康水平为宗旨</w:t>
      </w:r>
      <w:r>
        <w:rPr>
          <w:rFonts w:hint="eastAsia" w:ascii="宋体" w:hAnsi="宋体"/>
          <w:sz w:val="21"/>
          <w:szCs w:val="21"/>
          <w:lang w:eastAsia="zh-CN"/>
        </w:rPr>
        <w:t>。可以采取社会团体、社会服务机构、基金会等组织形式。</w:t>
      </w:r>
    </w:p>
    <w:p>
      <w:pPr>
        <w:pStyle w:val="40"/>
        <w:ind w:left="0"/>
      </w:pPr>
      <w:r>
        <w:rPr>
          <w:rFonts w:hint="eastAsia"/>
        </w:rPr>
        <w:t>生态环境类社会组织</w:t>
      </w:r>
    </w:p>
    <w:p>
      <w:pPr>
        <w:ind w:firstLine="420" w:firstLineChars="200"/>
        <w:jc w:val="both"/>
        <w:rPr>
          <w:rFonts w:ascii="宋体" w:hAnsi="宋体"/>
          <w:sz w:val="21"/>
          <w:szCs w:val="21"/>
          <w:lang w:eastAsia="zh-CN"/>
        </w:rPr>
      </w:pPr>
      <w:r>
        <w:rPr>
          <w:rFonts w:ascii="宋体" w:hAnsi="宋体"/>
          <w:sz w:val="21"/>
          <w:szCs w:val="21"/>
          <w:lang w:eastAsia="zh-CN"/>
        </w:rPr>
        <w:t>以生态环境保护为宗旨</w:t>
      </w:r>
      <w:r>
        <w:rPr>
          <w:rFonts w:hint="eastAsia" w:ascii="宋体" w:hAnsi="宋体"/>
          <w:sz w:val="21"/>
          <w:szCs w:val="21"/>
          <w:lang w:eastAsia="zh-CN"/>
        </w:rPr>
        <w:t>，积极</w:t>
      </w:r>
      <w:r>
        <w:rPr>
          <w:rFonts w:ascii="宋体" w:hAnsi="宋体"/>
          <w:sz w:val="21"/>
          <w:szCs w:val="21"/>
          <w:lang w:eastAsia="zh-CN"/>
        </w:rPr>
        <w:t>动员社会公众参与生态文明建设</w:t>
      </w:r>
      <w:r>
        <w:rPr>
          <w:rFonts w:hint="eastAsia" w:ascii="宋体" w:hAnsi="宋体"/>
          <w:sz w:val="21"/>
          <w:szCs w:val="21"/>
          <w:lang w:eastAsia="zh-CN"/>
        </w:rPr>
        <w:t>、</w:t>
      </w:r>
      <w:r>
        <w:rPr>
          <w:rFonts w:ascii="宋体" w:hAnsi="宋体"/>
          <w:sz w:val="21"/>
          <w:szCs w:val="21"/>
          <w:lang w:eastAsia="zh-CN"/>
        </w:rPr>
        <w:t>推动绿色发展</w:t>
      </w:r>
      <w:r>
        <w:rPr>
          <w:rFonts w:hint="eastAsia" w:ascii="宋体" w:hAnsi="宋体"/>
          <w:sz w:val="21"/>
          <w:szCs w:val="21"/>
          <w:lang w:eastAsia="zh-CN"/>
        </w:rPr>
        <w:t>。可以采取社会团体、社会服务机构、基金会等组织形式。</w:t>
      </w:r>
    </w:p>
    <w:p>
      <w:pPr>
        <w:pStyle w:val="40"/>
        <w:ind w:left="0"/>
      </w:pPr>
      <w:r>
        <w:rPr>
          <w:rFonts w:hint="eastAsia"/>
        </w:rPr>
        <w:t>枢纽型社会组织</w:t>
      </w:r>
    </w:p>
    <w:p>
      <w:pPr>
        <w:ind w:firstLine="420" w:firstLineChars="200"/>
        <w:jc w:val="both"/>
        <w:rPr>
          <w:rFonts w:ascii="宋体" w:hAnsi="宋体"/>
          <w:sz w:val="21"/>
          <w:szCs w:val="21"/>
          <w:lang w:eastAsia="zh-CN"/>
        </w:rPr>
      </w:pPr>
      <w:r>
        <w:rPr>
          <w:rFonts w:hint="eastAsia" w:ascii="宋体" w:hAnsi="宋体"/>
          <w:sz w:val="21"/>
          <w:szCs w:val="21"/>
          <w:lang w:eastAsia="zh-CN"/>
        </w:rPr>
        <w:t>由</w:t>
      </w:r>
      <w:r>
        <w:rPr>
          <w:rFonts w:ascii="宋体" w:hAnsi="宋体"/>
          <w:sz w:val="21"/>
          <w:szCs w:val="21"/>
          <w:lang w:eastAsia="zh-CN"/>
        </w:rPr>
        <w:t>同类别、同性质、同领域</w:t>
      </w:r>
      <w:r>
        <w:rPr>
          <w:rFonts w:hint="eastAsia" w:ascii="宋体" w:hAnsi="宋体"/>
          <w:sz w:val="21"/>
          <w:szCs w:val="21"/>
          <w:lang w:eastAsia="zh-CN"/>
        </w:rPr>
        <w:t>或同地域的</w:t>
      </w:r>
      <w:r>
        <w:rPr>
          <w:rFonts w:ascii="宋体" w:hAnsi="宋体"/>
          <w:sz w:val="21"/>
          <w:szCs w:val="21"/>
          <w:lang w:eastAsia="zh-CN"/>
        </w:rPr>
        <w:t>社会组织依法自愿发起成立</w:t>
      </w:r>
      <w:r>
        <w:rPr>
          <w:rFonts w:hint="eastAsia" w:ascii="宋体" w:hAnsi="宋体"/>
          <w:sz w:val="21"/>
          <w:szCs w:val="21"/>
          <w:lang w:eastAsia="zh-CN"/>
        </w:rPr>
        <w:t>，为社会组织提供行业服务。可以采取社会团体等组织形式。</w:t>
      </w:r>
    </w:p>
    <w:p>
      <w:pPr>
        <w:pStyle w:val="40"/>
        <w:ind w:left="0"/>
      </w:pPr>
      <w:r>
        <w:rPr>
          <w:rFonts w:hint="eastAsia"/>
        </w:rPr>
        <w:t>社区社会组织</w:t>
      </w:r>
    </w:p>
    <w:p>
      <w:pPr>
        <w:ind w:firstLine="420" w:firstLineChars="200"/>
        <w:jc w:val="both"/>
        <w:rPr>
          <w:rFonts w:ascii="宋体" w:hAnsi="宋体"/>
          <w:sz w:val="21"/>
          <w:szCs w:val="21"/>
          <w:lang w:eastAsia="zh-CN"/>
        </w:rPr>
      </w:pPr>
      <w:bookmarkStart w:id="27" w:name="_Hlk80870053"/>
      <w:r>
        <w:rPr>
          <w:rFonts w:hint="eastAsia" w:ascii="宋体" w:hAnsi="宋体"/>
          <w:sz w:val="21"/>
          <w:szCs w:val="21"/>
          <w:lang w:eastAsia="zh-CN"/>
        </w:rPr>
        <w:t>由社区居民发起成立，在城乡社区开展为民服务、公益慈善、邻里互助、文体娱乐和农村生产技术服务等活动。可以采取社会团体、社会服务机构等组织形式。</w:t>
      </w:r>
    </w:p>
    <w:bookmarkEnd w:id="27"/>
    <w:p>
      <w:pPr>
        <w:pStyle w:val="40"/>
        <w:ind w:left="0"/>
      </w:pPr>
      <w:r>
        <w:rPr>
          <w:rFonts w:hint="eastAsia"/>
        </w:rPr>
        <w:t>其他类社会组织</w:t>
      </w:r>
    </w:p>
    <w:p>
      <w:pPr>
        <w:ind w:firstLine="420" w:firstLineChars="200"/>
        <w:jc w:val="both"/>
        <w:rPr>
          <w:lang w:eastAsia="zh-CN"/>
        </w:rPr>
      </w:pPr>
      <w:r>
        <w:rPr>
          <w:rFonts w:hint="eastAsia" w:ascii="宋体" w:hAnsi="宋体"/>
          <w:sz w:val="21"/>
          <w:szCs w:val="21"/>
          <w:lang w:eastAsia="zh-CN"/>
        </w:rPr>
        <w:t>其他依法成立的社会组织。可以采取社会团体、社会服务机构、基金会等组织形式。</w:t>
      </w:r>
    </w:p>
    <w:p>
      <w:pPr>
        <w:pStyle w:val="34"/>
        <w:ind w:left="9355" w:hanging="9355" w:hangingChars="4455"/>
      </w:pPr>
      <w:bookmarkStart w:id="28" w:name="_bookmark3"/>
      <w:bookmarkEnd w:id="28"/>
      <w:bookmarkStart w:id="29" w:name="_Toc5699803"/>
      <w:bookmarkStart w:id="30" w:name="_Toc5699458"/>
      <w:bookmarkStart w:id="31" w:name="jibenyuanze"/>
      <w:r>
        <w:t>基本原则</w:t>
      </w:r>
      <w:bookmarkEnd w:id="29"/>
      <w:bookmarkEnd w:id="30"/>
    </w:p>
    <w:bookmarkEnd w:id="31"/>
    <w:p>
      <w:pPr>
        <w:pStyle w:val="27"/>
        <w:ind w:left="0"/>
      </w:pPr>
      <w:bookmarkStart w:id="32" w:name="_Toc5699459"/>
      <w:bookmarkStart w:id="33" w:name="_Toc5699804"/>
      <w:r>
        <w:rPr>
          <w:rFonts w:hint="eastAsia"/>
        </w:rPr>
        <w:t>科学性</w:t>
      </w:r>
      <w:bookmarkEnd w:id="32"/>
      <w:bookmarkEnd w:id="33"/>
    </w:p>
    <w:p>
      <w:pPr>
        <w:pStyle w:val="9"/>
        <w:ind w:left="0" w:firstLine="420" w:firstLineChars="200"/>
        <w:jc w:val="both"/>
        <w:rPr>
          <w:lang w:eastAsia="zh-CN"/>
        </w:rPr>
      </w:pPr>
      <w:bookmarkStart w:id="34" w:name="_Hlk75183196"/>
      <w:r>
        <w:rPr>
          <w:rFonts w:hint="eastAsia"/>
          <w:lang w:eastAsia="zh-CN"/>
        </w:rPr>
        <w:t>指南以科学理论为指导，力求全面、客观反映新时代对社会组织发展的核心能力要求。</w:t>
      </w:r>
      <w:bookmarkEnd w:id="34"/>
    </w:p>
    <w:p>
      <w:pPr>
        <w:pStyle w:val="27"/>
        <w:ind w:left="0"/>
      </w:pPr>
      <w:bookmarkStart w:id="35" w:name="_Toc5699460"/>
      <w:bookmarkStart w:id="36" w:name="_Toc5699805"/>
      <w:r>
        <w:t>合理性</w:t>
      </w:r>
      <w:bookmarkEnd w:id="35"/>
      <w:bookmarkEnd w:id="36"/>
    </w:p>
    <w:p>
      <w:pPr>
        <w:pStyle w:val="9"/>
        <w:ind w:left="0" w:firstLine="420" w:firstLineChars="200"/>
        <w:jc w:val="both"/>
        <w:rPr>
          <w:lang w:eastAsia="zh-CN"/>
        </w:rPr>
      </w:pPr>
      <w:r>
        <w:rPr>
          <w:rFonts w:hint="eastAsia"/>
          <w:lang w:eastAsia="zh-CN"/>
        </w:rPr>
        <w:t>指南适应社会组织所处发展阶段和现实情况，逻辑清晰，结构合理。</w:t>
      </w:r>
    </w:p>
    <w:p>
      <w:pPr>
        <w:pStyle w:val="27"/>
        <w:ind w:left="0"/>
      </w:pPr>
      <w:bookmarkStart w:id="37" w:name="_Toc5699806"/>
      <w:bookmarkStart w:id="38" w:name="_Toc5699461"/>
      <w:r>
        <w:rPr>
          <w:rFonts w:hint="eastAsia"/>
        </w:rPr>
        <w:t>前瞻性</w:t>
      </w:r>
    </w:p>
    <w:p>
      <w:pPr>
        <w:pStyle w:val="9"/>
        <w:ind w:left="0" w:firstLine="420" w:firstLineChars="200"/>
        <w:jc w:val="both"/>
        <w:rPr>
          <w:lang w:eastAsia="zh-CN"/>
        </w:rPr>
      </w:pPr>
      <w:r>
        <w:rPr>
          <w:rFonts w:hint="eastAsia"/>
          <w:lang w:eastAsia="zh-CN"/>
        </w:rPr>
        <w:t>指南立足长远，以推动社会组织高质量发展为方向，引导社会组织领域逐步建立与经济社会发展格局相适应的专业能力体系。</w:t>
      </w:r>
    </w:p>
    <w:p>
      <w:pPr>
        <w:pStyle w:val="27"/>
        <w:ind w:left="0"/>
      </w:pPr>
      <w:r>
        <w:rPr>
          <w:rFonts w:hint="eastAsia"/>
        </w:rPr>
        <w:t>适用性</w:t>
      </w:r>
      <w:bookmarkEnd w:id="37"/>
      <w:bookmarkEnd w:id="38"/>
    </w:p>
    <w:p>
      <w:pPr>
        <w:pStyle w:val="9"/>
        <w:ind w:left="0" w:firstLine="420" w:firstLineChars="200"/>
        <w:jc w:val="both"/>
        <w:rPr>
          <w:lang w:eastAsia="zh-CN"/>
        </w:rPr>
      </w:pPr>
      <w:r>
        <w:rPr>
          <w:rFonts w:hint="eastAsia"/>
          <w:lang w:eastAsia="zh-CN"/>
        </w:rPr>
        <w:t>指南在社会组织基本组织形式的基础上，对社会组织工作领域进行科学细分，对不同工作领域的社会组织分别提出能力建设的重点与方向，实践应用性和可操作性强。</w:t>
      </w:r>
    </w:p>
    <w:p>
      <w:pPr>
        <w:pStyle w:val="34"/>
        <w:ind w:left="9355" w:hanging="9355" w:hangingChars="4455"/>
      </w:pPr>
      <w:bookmarkStart w:id="39" w:name="_bookmark4"/>
      <w:bookmarkEnd w:id="39"/>
      <w:bookmarkStart w:id="40" w:name="_Toc5699464"/>
      <w:bookmarkStart w:id="41" w:name="_Toc5699809"/>
      <w:r>
        <w:rPr>
          <w:rFonts w:hint="eastAsia"/>
        </w:rPr>
        <w:t>能力建设目标</w:t>
      </w:r>
    </w:p>
    <w:p>
      <w:pPr>
        <w:pStyle w:val="9"/>
        <w:ind w:left="0" w:firstLine="420" w:firstLineChars="200"/>
        <w:jc w:val="both"/>
        <w:rPr>
          <w:lang w:eastAsia="zh-CN"/>
        </w:rPr>
      </w:pPr>
      <w:r>
        <w:rPr>
          <w:rFonts w:hint="eastAsia"/>
          <w:lang w:eastAsia="zh-CN"/>
        </w:rPr>
        <w:t>通过科学的能力建设实施路径和方法，支持社会组织稳步提升专业发展能力，</w:t>
      </w:r>
      <w:r>
        <w:rPr>
          <w:lang w:eastAsia="zh-CN"/>
        </w:rPr>
        <w:t>促进社会组织</w:t>
      </w:r>
      <w:r>
        <w:rPr>
          <w:rFonts w:hint="eastAsia"/>
          <w:lang w:eastAsia="zh-CN"/>
        </w:rPr>
        <w:t>在经济社会</w:t>
      </w:r>
      <w:r>
        <w:rPr>
          <w:lang w:eastAsia="zh-CN"/>
        </w:rPr>
        <w:t>各领域</w:t>
      </w:r>
      <w:r>
        <w:rPr>
          <w:rFonts w:hint="eastAsia"/>
          <w:lang w:eastAsia="zh-CN"/>
        </w:rPr>
        <w:t>、</w:t>
      </w:r>
      <w:r>
        <w:rPr>
          <w:lang w:eastAsia="zh-CN"/>
        </w:rPr>
        <w:t>各方面的作用得到全面发挥，实现更加均衡、更有效能、更可持续、更高质量的发展</w:t>
      </w:r>
      <w:r>
        <w:rPr>
          <w:rFonts w:hint="eastAsia"/>
          <w:lang w:eastAsia="zh-CN"/>
        </w:rPr>
        <w:t>，</w:t>
      </w:r>
      <w:r>
        <w:rPr>
          <w:lang w:eastAsia="zh-CN"/>
        </w:rPr>
        <w:t>形成一批在国内和国际具有</w:t>
      </w:r>
      <w:r>
        <w:rPr>
          <w:rFonts w:hint="eastAsia"/>
          <w:lang w:eastAsia="zh-CN"/>
        </w:rPr>
        <w:t>较高</w:t>
      </w:r>
      <w:r>
        <w:rPr>
          <w:lang w:eastAsia="zh-CN"/>
        </w:rPr>
        <w:t>影响力的品牌社会组织</w:t>
      </w:r>
      <w:r>
        <w:rPr>
          <w:rFonts w:hint="eastAsia"/>
          <w:lang w:eastAsia="zh-CN"/>
        </w:rPr>
        <w:t>。</w:t>
      </w:r>
    </w:p>
    <w:p>
      <w:pPr>
        <w:pStyle w:val="34"/>
        <w:ind w:left="9355" w:hanging="9355" w:hangingChars="4455"/>
      </w:pPr>
      <w:r>
        <w:rPr>
          <w:rFonts w:hint="eastAsia"/>
        </w:rPr>
        <w:t>能力建设内容</w:t>
      </w:r>
    </w:p>
    <w:p>
      <w:pPr>
        <w:pStyle w:val="27"/>
        <w:ind w:left="0"/>
      </w:pPr>
      <w:r>
        <w:rPr>
          <w:rFonts w:hint="eastAsia"/>
        </w:rPr>
        <w:t>通用能力</w:t>
      </w:r>
    </w:p>
    <w:p>
      <w:pPr>
        <w:pStyle w:val="40"/>
        <w:ind w:left="0"/>
      </w:pPr>
      <w:r>
        <w:rPr>
          <w:rFonts w:hint="eastAsia"/>
        </w:rPr>
        <w:t>法人治理能力</w:t>
      </w:r>
    </w:p>
    <w:p>
      <w:pPr>
        <w:pStyle w:val="9"/>
        <w:ind w:left="0" w:firstLine="420" w:firstLineChars="200"/>
        <w:jc w:val="both"/>
        <w:rPr>
          <w:lang w:eastAsia="zh-CN"/>
        </w:rPr>
      </w:pPr>
      <w:r>
        <w:rPr>
          <w:rFonts w:hint="eastAsia"/>
          <w:lang w:eastAsia="zh-CN"/>
        </w:rPr>
        <w:t>法人治理能力是社会组织按照章程建立健全和持续优化内部治理结构，有效开展决策，形成依法自治、权责明确、制衡有效、协同配合的良好治理机制的能力。法人治理能力涵盖党组织建设、理事会和监事（会）建设、执行机构建设、内部管理制度建设等方面的内容。</w:t>
      </w:r>
    </w:p>
    <w:p>
      <w:pPr>
        <w:pStyle w:val="40"/>
        <w:ind w:left="0"/>
      </w:pPr>
      <w:r>
        <w:rPr>
          <w:rFonts w:hint="eastAsia"/>
        </w:rPr>
        <w:t>战略规划能力</w:t>
      </w:r>
    </w:p>
    <w:p>
      <w:pPr>
        <w:pStyle w:val="9"/>
        <w:ind w:left="0" w:firstLine="420" w:firstLineChars="200"/>
        <w:jc w:val="both"/>
        <w:rPr>
          <w:lang w:eastAsia="zh-CN"/>
        </w:rPr>
      </w:pPr>
      <w:r>
        <w:rPr>
          <w:rFonts w:hint="eastAsia"/>
          <w:lang w:eastAsia="zh-CN"/>
        </w:rPr>
        <w:t>战略规划能力是社会组织积极适应环境变化，明晰发展定位，科学制定组织中长期发展目标，系统规划有效实施路径的能力。战略规划能力包括政策学习能力、组织评估能力、发展规划能力、文化建设能力等。</w:t>
      </w:r>
    </w:p>
    <w:p>
      <w:pPr>
        <w:pStyle w:val="40"/>
        <w:ind w:left="0"/>
      </w:pPr>
      <w:r>
        <w:rPr>
          <w:rFonts w:hint="eastAsia"/>
        </w:rPr>
        <w:t>组织管理能力</w:t>
      </w:r>
    </w:p>
    <w:p>
      <w:pPr>
        <w:pStyle w:val="9"/>
        <w:ind w:left="0" w:firstLine="420" w:firstLineChars="200"/>
        <w:jc w:val="both"/>
        <w:rPr>
          <w:lang w:eastAsia="zh-CN"/>
        </w:rPr>
      </w:pPr>
      <w:r>
        <w:rPr>
          <w:rFonts w:hint="eastAsia"/>
          <w:lang w:eastAsia="zh-CN"/>
        </w:rPr>
        <w:t>组织管理能力是社会组织有效动员、协调和整合资源，完成既定工作任务，达成组织目标所需具备的能力。组织管理能力包括项目管理能力、财务管理能力、人力资源管理能力、品牌管理能力、风险管理能力等。</w:t>
      </w:r>
    </w:p>
    <w:p>
      <w:pPr>
        <w:pStyle w:val="40"/>
        <w:ind w:left="0"/>
      </w:pPr>
      <w:r>
        <w:rPr>
          <w:rFonts w:hint="eastAsia"/>
        </w:rPr>
        <w:t>可持续发展能力</w:t>
      </w:r>
    </w:p>
    <w:p>
      <w:pPr>
        <w:pStyle w:val="9"/>
        <w:ind w:left="0" w:firstLine="420" w:firstLineChars="200"/>
        <w:jc w:val="both"/>
        <w:rPr>
          <w:lang w:eastAsia="zh-CN"/>
        </w:rPr>
      </w:pPr>
      <w:r>
        <w:rPr>
          <w:rFonts w:hint="eastAsia"/>
          <w:lang w:eastAsia="zh-CN"/>
        </w:rPr>
        <w:t>可持续发展能力是社会组织处于长期存续状态，持续创造社会价值所需具备的能力。可持续发展能力包括多元资源开发能力、服务创新能力、公信力建设能力等。</w:t>
      </w:r>
    </w:p>
    <w:p>
      <w:pPr>
        <w:pStyle w:val="40"/>
        <w:ind w:left="0"/>
      </w:pPr>
      <w:r>
        <w:rPr>
          <w:rFonts w:hint="eastAsia"/>
        </w:rPr>
        <w:t>社会互动与合作能力</w:t>
      </w:r>
    </w:p>
    <w:p>
      <w:pPr>
        <w:pStyle w:val="9"/>
        <w:spacing w:after="120" w:afterLines="50"/>
        <w:ind w:left="0" w:firstLine="420" w:firstLineChars="200"/>
        <w:jc w:val="both"/>
        <w:rPr>
          <w:lang w:eastAsia="zh-CN"/>
        </w:rPr>
      </w:pPr>
      <w:r>
        <w:rPr>
          <w:rFonts w:hint="eastAsia"/>
          <w:lang w:eastAsia="zh-CN"/>
        </w:rPr>
        <w:t>社会互动与合作能力是社会组织与其他多元主体建立伙伴关系的能力，包括建立</w:t>
      </w:r>
      <w:bookmarkStart w:id="42" w:name="_Hlk74147252"/>
      <w:r>
        <w:rPr>
          <w:rFonts w:hint="eastAsia"/>
          <w:lang w:eastAsia="zh-CN"/>
        </w:rPr>
        <w:t>与政府、企业、媒体、科研院所、社区、其他社会组织等</w:t>
      </w:r>
      <w:bookmarkEnd w:id="42"/>
      <w:r>
        <w:rPr>
          <w:rFonts w:hint="eastAsia"/>
          <w:lang w:eastAsia="zh-CN"/>
        </w:rPr>
        <w:t>之间的联系与合作关系。社会互动与合作能力包括公众参与促进能力、跨界合作能力等。</w:t>
      </w:r>
    </w:p>
    <w:p>
      <w:pPr>
        <w:pStyle w:val="27"/>
        <w:ind w:left="0"/>
      </w:pPr>
      <w:r>
        <w:rPr>
          <w:rFonts w:hint="eastAsia"/>
        </w:rPr>
        <w:t>通用能力建设内容</w:t>
      </w:r>
    </w:p>
    <w:p>
      <w:pPr>
        <w:pStyle w:val="9"/>
        <w:ind w:left="0" w:firstLine="420" w:firstLineChars="200"/>
        <w:jc w:val="both"/>
        <w:rPr>
          <w:lang w:eastAsia="zh-CN"/>
        </w:rPr>
      </w:pPr>
      <w:r>
        <w:rPr>
          <w:rFonts w:hint="eastAsia"/>
          <w:lang w:eastAsia="zh-CN"/>
        </w:rPr>
        <w:t>社会组织通用能力建设内容参见附录A。</w:t>
      </w:r>
    </w:p>
    <w:p>
      <w:pPr>
        <w:pStyle w:val="27"/>
        <w:ind w:left="0"/>
      </w:pPr>
      <w:r>
        <w:rPr>
          <w:rFonts w:hint="eastAsia"/>
        </w:rPr>
        <w:t>专有能力</w:t>
      </w:r>
    </w:p>
    <w:p>
      <w:pPr>
        <w:pStyle w:val="40"/>
        <w:ind w:left="0"/>
      </w:pPr>
      <w:bookmarkStart w:id="43" w:name="_Hlk80784837"/>
      <w:r>
        <w:rPr>
          <w:rFonts w:hint="eastAsia"/>
        </w:rPr>
        <w:t>公益慈善类社会组织</w:t>
      </w:r>
    </w:p>
    <w:p>
      <w:pPr>
        <w:pStyle w:val="9"/>
        <w:ind w:left="0" w:firstLine="420" w:firstLineChars="200"/>
        <w:jc w:val="both"/>
        <w:rPr>
          <w:lang w:eastAsia="zh-CN"/>
        </w:rPr>
      </w:pPr>
      <w:r>
        <w:rPr>
          <w:rFonts w:hint="eastAsia"/>
          <w:lang w:eastAsia="zh-CN"/>
        </w:rPr>
        <w:t>具有公开募捐资格的慈善组织应</w:t>
      </w:r>
      <w:r>
        <w:rPr>
          <w:lang w:eastAsia="zh-CN"/>
        </w:rPr>
        <w:t>具备的专有能力包括公开募捐</w:t>
      </w:r>
      <w:r>
        <w:rPr>
          <w:rFonts w:hint="eastAsia"/>
          <w:lang w:eastAsia="zh-CN"/>
        </w:rPr>
        <w:t>、捐赠人维护管理、重大突发公共事件参与等方面的能力。不具有公开募捐资格的慈善组织应具备的专有能力包括定向募捐、财产保值增值投资、慈善信托运作等方面的能力。</w:t>
      </w:r>
    </w:p>
    <w:p>
      <w:pPr>
        <w:pStyle w:val="40"/>
        <w:ind w:left="0"/>
      </w:pPr>
      <w:r>
        <w:rPr>
          <w:rFonts w:hint="eastAsia"/>
        </w:rPr>
        <w:t>志愿服务组织</w:t>
      </w:r>
    </w:p>
    <w:p>
      <w:pPr>
        <w:pStyle w:val="9"/>
        <w:ind w:left="0" w:firstLine="420" w:firstLineChars="200"/>
        <w:jc w:val="both"/>
        <w:rPr>
          <w:lang w:eastAsia="zh-CN"/>
        </w:rPr>
      </w:pPr>
      <w:r>
        <w:rPr>
          <w:rFonts w:hint="eastAsia"/>
          <w:lang w:eastAsia="zh-CN"/>
        </w:rPr>
        <w:t>志愿服务组织应具备的专有能力包括志愿者服务管理、志愿服务活动组织实施、志愿者权益保障、重大突发公共事件参与等方面的能力。</w:t>
      </w:r>
    </w:p>
    <w:p>
      <w:pPr>
        <w:pStyle w:val="40"/>
        <w:ind w:left="0"/>
      </w:pPr>
      <w:r>
        <w:rPr>
          <w:rFonts w:hint="eastAsia"/>
        </w:rPr>
        <w:t>社会工作服务机构</w:t>
      </w:r>
    </w:p>
    <w:p>
      <w:pPr>
        <w:pStyle w:val="9"/>
        <w:ind w:left="0" w:firstLine="420" w:firstLineChars="200"/>
        <w:jc w:val="both"/>
        <w:rPr>
          <w:lang w:eastAsia="zh-CN"/>
        </w:rPr>
      </w:pPr>
      <w:r>
        <w:rPr>
          <w:rFonts w:hint="eastAsia"/>
          <w:lang w:eastAsia="zh-CN"/>
        </w:rPr>
        <w:t>社会工作服务机构应具备的专有能力包括</w:t>
      </w:r>
      <w:r>
        <w:rPr>
          <w:lang w:eastAsia="zh-CN"/>
        </w:rPr>
        <w:t>个案</w:t>
      </w:r>
      <w:r>
        <w:rPr>
          <w:rFonts w:hint="eastAsia"/>
          <w:lang w:eastAsia="zh-CN"/>
        </w:rPr>
        <w:t>工作</w:t>
      </w:r>
      <w:r>
        <w:rPr>
          <w:lang w:eastAsia="zh-CN"/>
        </w:rPr>
        <w:t>、小组工作</w:t>
      </w:r>
      <w:r>
        <w:rPr>
          <w:rFonts w:hint="eastAsia"/>
          <w:lang w:eastAsia="zh-CN"/>
        </w:rPr>
        <w:t>、</w:t>
      </w:r>
      <w:r>
        <w:rPr>
          <w:lang w:eastAsia="zh-CN"/>
        </w:rPr>
        <w:t>社区社会工作</w:t>
      </w:r>
      <w:r>
        <w:rPr>
          <w:rFonts w:hint="eastAsia"/>
          <w:lang w:eastAsia="zh-CN"/>
        </w:rPr>
        <w:t>、社会资源统筹协调等方面的能力。</w:t>
      </w:r>
    </w:p>
    <w:p>
      <w:pPr>
        <w:pStyle w:val="40"/>
        <w:ind w:left="0"/>
      </w:pPr>
      <w:r>
        <w:rPr>
          <w:rFonts w:hint="eastAsia"/>
        </w:rPr>
        <w:t>行业协会商会</w:t>
      </w:r>
    </w:p>
    <w:p>
      <w:pPr>
        <w:pStyle w:val="9"/>
        <w:ind w:left="0" w:firstLine="420" w:firstLineChars="200"/>
        <w:jc w:val="both"/>
        <w:rPr>
          <w:lang w:eastAsia="zh-CN"/>
        </w:rPr>
      </w:pPr>
      <w:r>
        <w:rPr>
          <w:lang w:eastAsia="zh-CN"/>
        </w:rPr>
        <w:t>行业协会商会应具备的专有能力包括会员管理</w:t>
      </w:r>
      <w:r>
        <w:rPr>
          <w:rFonts w:hint="eastAsia"/>
          <w:lang w:eastAsia="zh-CN"/>
        </w:rPr>
        <w:t>、市场主体</w:t>
      </w:r>
      <w:r>
        <w:rPr>
          <w:lang w:eastAsia="zh-CN"/>
        </w:rPr>
        <w:t>服务</w:t>
      </w:r>
      <w:r>
        <w:rPr>
          <w:rFonts w:hint="eastAsia"/>
          <w:lang w:eastAsia="zh-CN"/>
        </w:rPr>
        <w:t>、团体标准制定与实施、</w:t>
      </w:r>
      <w:r>
        <w:rPr>
          <w:lang w:eastAsia="zh-CN"/>
        </w:rPr>
        <w:t>行业自律与</w:t>
      </w:r>
      <w:r>
        <w:rPr>
          <w:rFonts w:hint="eastAsia"/>
          <w:lang w:eastAsia="zh-CN"/>
        </w:rPr>
        <w:t>市场</w:t>
      </w:r>
      <w:r>
        <w:rPr>
          <w:lang w:eastAsia="zh-CN"/>
        </w:rPr>
        <w:t>秩序</w:t>
      </w:r>
      <w:r>
        <w:rPr>
          <w:rFonts w:hint="eastAsia"/>
          <w:lang w:eastAsia="zh-CN"/>
        </w:rPr>
        <w:t>维护等方面的能力。</w:t>
      </w:r>
    </w:p>
    <w:p>
      <w:pPr>
        <w:pStyle w:val="40"/>
        <w:ind w:left="0"/>
      </w:pPr>
      <w:r>
        <w:rPr>
          <w:rFonts w:hint="eastAsia"/>
        </w:rPr>
        <w:t>科学研究类、智库类社会组织</w:t>
      </w:r>
    </w:p>
    <w:p>
      <w:pPr>
        <w:pStyle w:val="9"/>
        <w:ind w:left="0" w:firstLine="420" w:firstLineChars="200"/>
        <w:jc w:val="both"/>
        <w:rPr>
          <w:lang w:eastAsia="zh-CN"/>
        </w:rPr>
      </w:pPr>
      <w:r>
        <w:rPr>
          <w:rFonts w:hint="eastAsia"/>
          <w:lang w:eastAsia="zh-CN"/>
        </w:rPr>
        <w:t>科学研究类、智库类社会组织</w:t>
      </w:r>
      <w:r>
        <w:rPr>
          <w:lang w:eastAsia="zh-CN"/>
        </w:rPr>
        <w:t>应具备的专有能力包括</w:t>
      </w:r>
      <w:r>
        <w:rPr>
          <w:rFonts w:hint="eastAsia"/>
          <w:lang w:eastAsia="zh-CN"/>
        </w:rPr>
        <w:t>产学研合作与科研成果转化应用、决策咨询服务、学术交流与合作、科学普及等方面的能力。</w:t>
      </w:r>
    </w:p>
    <w:p>
      <w:pPr>
        <w:pStyle w:val="40"/>
        <w:ind w:left="0"/>
      </w:pPr>
      <w:r>
        <w:rPr>
          <w:rFonts w:hint="eastAsia"/>
        </w:rPr>
        <w:t>养老托育、卫生健康、残疾人康复类社会组织</w:t>
      </w:r>
    </w:p>
    <w:p>
      <w:pPr>
        <w:pStyle w:val="9"/>
        <w:ind w:left="0" w:firstLine="420" w:firstLineChars="200"/>
        <w:jc w:val="both"/>
        <w:rPr>
          <w:lang w:eastAsia="zh-CN"/>
        </w:rPr>
      </w:pPr>
      <w:r>
        <w:rPr>
          <w:rFonts w:hint="eastAsia"/>
          <w:lang w:eastAsia="zh-CN"/>
        </w:rPr>
        <w:t>养老托育、卫生健康、残疾人康复类社会组织应具备的专有能力包括服务设施的建设与运营、服务</w:t>
      </w:r>
      <w:r>
        <w:rPr>
          <w:lang w:eastAsia="zh-CN"/>
        </w:rPr>
        <w:t>标准化与服务质量管理</w:t>
      </w:r>
      <w:r>
        <w:rPr>
          <w:rFonts w:hint="eastAsia"/>
          <w:lang w:eastAsia="zh-CN"/>
        </w:rPr>
        <w:t>、机构安全管理与应急防护等方面的能力。</w:t>
      </w:r>
    </w:p>
    <w:p>
      <w:pPr>
        <w:pStyle w:val="40"/>
        <w:ind w:left="0"/>
      </w:pPr>
      <w:r>
        <w:rPr>
          <w:rFonts w:hint="eastAsia"/>
        </w:rPr>
        <w:t>非营利性民办学校</w:t>
      </w:r>
    </w:p>
    <w:p>
      <w:pPr>
        <w:pStyle w:val="9"/>
        <w:ind w:left="0" w:firstLine="420" w:firstLineChars="200"/>
        <w:jc w:val="both"/>
        <w:rPr>
          <w:lang w:eastAsia="zh-CN"/>
        </w:rPr>
      </w:pPr>
      <w:r>
        <w:rPr>
          <w:rFonts w:hint="eastAsia"/>
          <w:lang w:eastAsia="zh-CN"/>
        </w:rPr>
        <w:t>非营利性民办学校应具备的专有能力包括教育教学管理、教师队伍建设、人才培养质量管理、风险防范等方面的能力。</w:t>
      </w:r>
    </w:p>
    <w:p>
      <w:pPr>
        <w:pStyle w:val="40"/>
        <w:ind w:left="0"/>
      </w:pPr>
      <w:r>
        <w:rPr>
          <w:rFonts w:hint="eastAsia"/>
        </w:rPr>
        <w:t>文化艺术类、体育类社会组织</w:t>
      </w:r>
    </w:p>
    <w:p>
      <w:pPr>
        <w:pStyle w:val="9"/>
        <w:ind w:left="0" w:firstLine="420" w:firstLineChars="200"/>
        <w:jc w:val="both"/>
        <w:rPr>
          <w:lang w:eastAsia="zh-CN"/>
        </w:rPr>
      </w:pPr>
      <w:r>
        <w:rPr>
          <w:rFonts w:hint="eastAsia"/>
          <w:lang w:eastAsia="zh-CN"/>
        </w:rPr>
        <w:t>文化艺术类、体育类社会组织应具备的专有能力包括文艺演出与体育活动策划组织、</w:t>
      </w:r>
      <w:r>
        <w:rPr>
          <w:lang w:eastAsia="zh-CN"/>
        </w:rPr>
        <w:t>公共文化体育设施运营和管理</w:t>
      </w:r>
      <w:r>
        <w:rPr>
          <w:rFonts w:hint="eastAsia"/>
          <w:lang w:eastAsia="zh-CN"/>
        </w:rPr>
        <w:t>、民族文化体育传播和传承、文化体育交流与合作等方面的能力。</w:t>
      </w:r>
    </w:p>
    <w:p>
      <w:pPr>
        <w:pStyle w:val="40"/>
        <w:ind w:left="0"/>
      </w:pPr>
      <w:r>
        <w:rPr>
          <w:rFonts w:hint="eastAsia"/>
        </w:rPr>
        <w:t>生态环境类社会组织</w:t>
      </w:r>
    </w:p>
    <w:p>
      <w:pPr>
        <w:pStyle w:val="9"/>
        <w:ind w:left="0" w:firstLine="420" w:firstLineChars="200"/>
        <w:jc w:val="both"/>
        <w:rPr>
          <w:lang w:eastAsia="zh-CN"/>
        </w:rPr>
      </w:pPr>
      <w:r>
        <w:rPr>
          <w:lang w:eastAsia="zh-CN"/>
        </w:rPr>
        <w:t>生态环境类社会组织</w:t>
      </w:r>
      <w:r>
        <w:rPr>
          <w:rFonts w:hint="eastAsia"/>
          <w:lang w:eastAsia="zh-CN"/>
        </w:rPr>
        <w:t>应具备的专有能力包括环境教育、环境监督、环境公益诉讼、生态环境政策倡导、生态</w:t>
      </w:r>
      <w:r>
        <w:rPr>
          <w:lang w:eastAsia="zh-CN"/>
        </w:rPr>
        <w:t>环境保护国际交流与合作等方面的能力</w:t>
      </w:r>
      <w:r>
        <w:rPr>
          <w:rFonts w:hint="eastAsia"/>
          <w:lang w:eastAsia="zh-CN"/>
        </w:rPr>
        <w:t>。</w:t>
      </w:r>
    </w:p>
    <w:p>
      <w:pPr>
        <w:pStyle w:val="40"/>
        <w:ind w:left="0"/>
      </w:pPr>
      <w:r>
        <w:rPr>
          <w:rFonts w:hint="eastAsia"/>
        </w:rPr>
        <w:t>枢纽型社会组织</w:t>
      </w:r>
    </w:p>
    <w:p>
      <w:pPr>
        <w:pStyle w:val="9"/>
        <w:ind w:left="0" w:firstLine="420" w:firstLineChars="200"/>
        <w:jc w:val="both"/>
        <w:rPr>
          <w:lang w:eastAsia="zh-CN"/>
        </w:rPr>
      </w:pPr>
      <w:r>
        <w:rPr>
          <w:rFonts w:hint="eastAsia"/>
          <w:lang w:eastAsia="zh-CN"/>
        </w:rPr>
        <w:t>枢纽型社会组织应具备的专有能力包括社会组织培育、社会组织专业人才培养、社会组织行业自律、社会组织权益维护、社会组织政策沟通与协调、资源平台搭建等方面的能力。</w:t>
      </w:r>
    </w:p>
    <w:p>
      <w:pPr>
        <w:pStyle w:val="40"/>
        <w:ind w:left="0"/>
      </w:pPr>
      <w:r>
        <w:rPr>
          <w:rFonts w:hint="eastAsia"/>
        </w:rPr>
        <w:t>社区社会组织</w:t>
      </w:r>
    </w:p>
    <w:p>
      <w:pPr>
        <w:pStyle w:val="9"/>
        <w:ind w:left="0" w:firstLine="420" w:firstLineChars="200"/>
        <w:jc w:val="both"/>
        <w:rPr>
          <w:lang w:eastAsia="zh-CN"/>
        </w:rPr>
      </w:pPr>
      <w:r>
        <w:rPr>
          <w:rFonts w:hint="eastAsia"/>
          <w:lang w:eastAsia="zh-CN"/>
        </w:rPr>
        <w:t>社区社会组织应具</w:t>
      </w:r>
      <w:r>
        <w:rPr>
          <w:rFonts w:hint="eastAsia"/>
          <w:color w:val="auto"/>
          <w:lang w:eastAsia="zh-CN"/>
        </w:rPr>
        <w:t>备的专有能力包括</w:t>
      </w:r>
      <w:r>
        <w:rPr>
          <w:color w:val="auto"/>
          <w:lang w:eastAsia="zh-CN"/>
        </w:rPr>
        <w:t>社区</w:t>
      </w:r>
      <w:r>
        <w:rPr>
          <w:rFonts w:hint="eastAsia"/>
          <w:color w:val="auto"/>
          <w:lang w:eastAsia="zh-CN"/>
        </w:rPr>
        <w:t>服务</w:t>
      </w:r>
      <w:r>
        <w:rPr>
          <w:color w:val="auto"/>
          <w:lang w:eastAsia="zh-CN"/>
        </w:rPr>
        <w:t>活动实施</w:t>
      </w:r>
      <w:r>
        <w:rPr>
          <w:rFonts w:hint="eastAsia"/>
          <w:color w:val="auto"/>
          <w:lang w:eastAsia="zh-CN"/>
        </w:rPr>
        <w:t>、</w:t>
      </w:r>
      <w:r>
        <w:rPr>
          <w:lang w:eastAsia="zh-CN"/>
        </w:rPr>
        <w:t>社区志愿服务活动实施</w:t>
      </w:r>
      <w:r>
        <w:rPr>
          <w:rFonts w:hint="eastAsia"/>
          <w:lang w:eastAsia="zh-CN"/>
        </w:rPr>
        <w:t>、</w:t>
      </w:r>
      <w:r>
        <w:rPr>
          <w:lang w:eastAsia="zh-CN"/>
        </w:rPr>
        <w:t>社区慈善活动实施</w:t>
      </w:r>
      <w:r>
        <w:rPr>
          <w:rFonts w:hint="eastAsia"/>
          <w:lang w:eastAsia="zh-CN"/>
        </w:rPr>
        <w:t>、平安</w:t>
      </w:r>
      <w:r>
        <w:rPr>
          <w:lang w:eastAsia="zh-CN"/>
        </w:rPr>
        <w:t>社区建设活动实施</w:t>
      </w:r>
      <w:r>
        <w:rPr>
          <w:rFonts w:hint="eastAsia"/>
          <w:lang w:eastAsia="zh-CN"/>
        </w:rPr>
        <w:t>、社区</w:t>
      </w:r>
      <w:r>
        <w:rPr>
          <w:lang w:eastAsia="zh-CN"/>
        </w:rPr>
        <w:t>文明创建活动实施等方面的能力</w:t>
      </w:r>
      <w:r>
        <w:rPr>
          <w:rFonts w:hint="eastAsia"/>
          <w:lang w:eastAsia="zh-CN"/>
        </w:rPr>
        <w:t>。</w:t>
      </w:r>
    </w:p>
    <w:p>
      <w:pPr>
        <w:pStyle w:val="40"/>
        <w:ind w:left="0"/>
      </w:pPr>
      <w:r>
        <w:rPr>
          <w:rFonts w:hint="eastAsia"/>
        </w:rPr>
        <w:t>其他社会组织</w:t>
      </w:r>
    </w:p>
    <w:p>
      <w:pPr>
        <w:pStyle w:val="9"/>
        <w:spacing w:after="120" w:afterLines="50"/>
        <w:ind w:left="0" w:firstLine="420" w:firstLineChars="200"/>
        <w:jc w:val="both"/>
        <w:rPr>
          <w:lang w:eastAsia="zh-CN"/>
        </w:rPr>
      </w:pPr>
      <w:r>
        <w:rPr>
          <w:rFonts w:hint="eastAsia"/>
          <w:lang w:eastAsia="zh-CN"/>
        </w:rPr>
        <w:t>其他社会组织应具备依照法律法规及其章程开展活动的能力。</w:t>
      </w:r>
    </w:p>
    <w:p>
      <w:pPr>
        <w:pStyle w:val="27"/>
        <w:ind w:left="0"/>
      </w:pPr>
      <w:r>
        <w:rPr>
          <w:rFonts w:hint="eastAsia"/>
        </w:rPr>
        <w:t>专有能力建设内容</w:t>
      </w:r>
    </w:p>
    <w:p>
      <w:pPr>
        <w:pStyle w:val="9"/>
        <w:ind w:left="0" w:firstLine="420" w:firstLineChars="200"/>
        <w:jc w:val="both"/>
        <w:rPr>
          <w:lang w:eastAsia="zh-CN"/>
        </w:rPr>
      </w:pPr>
      <w:r>
        <w:rPr>
          <w:rFonts w:hint="eastAsia"/>
          <w:lang w:eastAsia="zh-CN"/>
        </w:rPr>
        <w:t>社会组织专有能力建设内容参见附录B。</w:t>
      </w:r>
    </w:p>
    <w:bookmarkEnd w:id="43"/>
    <w:p>
      <w:pPr>
        <w:pStyle w:val="34"/>
        <w:ind w:left="9355" w:hanging="9355" w:hangingChars="4455"/>
      </w:pPr>
      <w:r>
        <w:rPr>
          <w:rFonts w:hint="eastAsia"/>
        </w:rPr>
        <w:t>能力建设实施路径</w:t>
      </w:r>
    </w:p>
    <w:p>
      <w:pPr>
        <w:pStyle w:val="27"/>
        <w:ind w:left="0"/>
      </w:pPr>
      <w:r>
        <w:rPr>
          <w:rFonts w:hint="eastAsia"/>
        </w:rPr>
        <w:t>政府培育扶持</w:t>
      </w:r>
    </w:p>
    <w:p>
      <w:pPr>
        <w:pStyle w:val="40"/>
        <w:ind w:left="0"/>
      </w:pPr>
      <w:r>
        <w:rPr>
          <w:rFonts w:hint="eastAsia"/>
        </w:rPr>
        <w:t>政府职能部门协同培育</w:t>
      </w:r>
    </w:p>
    <w:p>
      <w:pPr>
        <w:pStyle w:val="27"/>
        <w:numPr>
          <w:ilvl w:val="0"/>
          <w:numId w:val="0"/>
        </w:numPr>
        <w:jc w:val="both"/>
      </w:pPr>
      <w:r>
        <w:t>8</w:t>
      </w:r>
      <w:r>
        <w:rPr>
          <w:rFonts w:hint="eastAsia"/>
        </w:rPr>
        <w:t>.1.1.1登记管理机关</w:t>
      </w:r>
    </w:p>
    <w:p>
      <w:pPr>
        <w:pStyle w:val="9"/>
        <w:ind w:left="117" w:leftChars="53" w:firstLine="315" w:firstLineChars="150"/>
        <w:jc w:val="both"/>
        <w:rPr>
          <w:lang w:eastAsia="zh-CN"/>
        </w:rPr>
      </w:pPr>
      <w:r>
        <w:rPr>
          <w:rFonts w:hint="eastAsia"/>
          <w:lang w:eastAsia="zh-CN"/>
        </w:rPr>
        <w:t>社会组织登记管理机关制定本行政区域内社会组织年度能力建设专项计划，所需经费纳入财政预算管理；采取孵化培育、人员培训、项目指导、公益创投等多种途径和方式，有计划有重点地扶持一批品牌社会组织；推进政府向社会组织购买服务；鼓励在街道（乡镇）成立社区社会组织联合会，联合业务范围内的社区社会组织承接政府购买服务，带动社区社会组织健康有序发展。</w:t>
      </w:r>
    </w:p>
    <w:p>
      <w:pPr>
        <w:pStyle w:val="27"/>
        <w:numPr>
          <w:ilvl w:val="0"/>
          <w:numId w:val="0"/>
        </w:numPr>
        <w:jc w:val="both"/>
      </w:pPr>
      <w:r>
        <w:t>8</w:t>
      </w:r>
      <w:r>
        <w:rPr>
          <w:rFonts w:hint="eastAsia"/>
        </w:rPr>
        <w:t>.1.1.2业务主管单位</w:t>
      </w:r>
    </w:p>
    <w:p>
      <w:pPr>
        <w:pStyle w:val="9"/>
        <w:ind w:left="0" w:firstLine="420" w:firstLineChars="200"/>
        <w:jc w:val="both"/>
        <w:rPr>
          <w:lang w:eastAsia="zh-CN"/>
        </w:rPr>
      </w:pPr>
      <w:r>
        <w:rPr>
          <w:lang w:eastAsia="zh-CN"/>
        </w:rPr>
        <w:t>实行双重管理的社会组织的业务主管单位健全和完善社会组织能力建设制度</w:t>
      </w:r>
      <w:r>
        <w:rPr>
          <w:rFonts w:hint="eastAsia"/>
          <w:lang w:eastAsia="zh-CN"/>
        </w:rPr>
        <w:t>，</w:t>
      </w:r>
      <w:r>
        <w:rPr>
          <w:lang w:eastAsia="zh-CN"/>
        </w:rPr>
        <w:t>对所主管的社会组织每年开展</w:t>
      </w:r>
      <w:r>
        <w:rPr>
          <w:rFonts w:hint="eastAsia"/>
          <w:lang w:eastAsia="zh-CN"/>
        </w:rPr>
        <w:t>学习交流、培训等</w:t>
      </w:r>
      <w:r>
        <w:rPr>
          <w:lang w:eastAsia="zh-CN"/>
        </w:rPr>
        <w:t>能力建设活动</w:t>
      </w:r>
      <w:r>
        <w:rPr>
          <w:rFonts w:hint="eastAsia"/>
          <w:lang w:eastAsia="zh-CN"/>
        </w:rPr>
        <w:t>，并结合社会组织实际发展情况进行具体的</w:t>
      </w:r>
      <w:r>
        <w:rPr>
          <w:lang w:eastAsia="zh-CN"/>
        </w:rPr>
        <w:t>业务指导</w:t>
      </w:r>
      <w:r>
        <w:rPr>
          <w:rFonts w:hint="eastAsia"/>
          <w:lang w:eastAsia="zh-CN"/>
        </w:rPr>
        <w:t>。</w:t>
      </w:r>
    </w:p>
    <w:p>
      <w:pPr>
        <w:pStyle w:val="27"/>
        <w:numPr>
          <w:ilvl w:val="0"/>
          <w:numId w:val="0"/>
        </w:numPr>
        <w:jc w:val="both"/>
      </w:pPr>
      <w:r>
        <w:t>8</w:t>
      </w:r>
      <w:r>
        <w:rPr>
          <w:rFonts w:hint="eastAsia"/>
        </w:rPr>
        <w:t>.1.1.3行业管理部门</w:t>
      </w:r>
    </w:p>
    <w:p>
      <w:pPr>
        <w:pStyle w:val="9"/>
        <w:ind w:left="0" w:firstLine="420" w:firstLineChars="200"/>
        <w:jc w:val="both"/>
        <w:rPr>
          <w:lang w:eastAsia="zh-CN"/>
        </w:rPr>
      </w:pPr>
      <w:r>
        <w:rPr>
          <w:lang w:eastAsia="zh-CN"/>
        </w:rPr>
        <w:t>行业管理部门应结合实际</w:t>
      </w:r>
      <w:r>
        <w:rPr>
          <w:rFonts w:hint="eastAsia"/>
          <w:lang w:eastAsia="zh-CN"/>
        </w:rPr>
        <w:t>，</w:t>
      </w:r>
      <w:r>
        <w:rPr>
          <w:lang w:eastAsia="zh-CN"/>
        </w:rPr>
        <w:t>制定本行业</w:t>
      </w:r>
      <w:r>
        <w:rPr>
          <w:rFonts w:hint="eastAsia"/>
          <w:lang w:eastAsia="zh-CN"/>
        </w:rPr>
        <w:t>、</w:t>
      </w:r>
      <w:r>
        <w:rPr>
          <w:lang w:eastAsia="zh-CN"/>
        </w:rPr>
        <w:t>本领域社会组织能力建设和培育发展的指导性意见</w:t>
      </w:r>
      <w:r>
        <w:rPr>
          <w:rFonts w:hint="eastAsia"/>
          <w:lang w:eastAsia="zh-CN"/>
        </w:rPr>
        <w:t>、</w:t>
      </w:r>
      <w:r>
        <w:rPr>
          <w:lang w:eastAsia="zh-CN"/>
        </w:rPr>
        <w:t>工作方案</w:t>
      </w:r>
      <w:r>
        <w:rPr>
          <w:rFonts w:hint="eastAsia"/>
          <w:lang w:eastAsia="zh-CN"/>
        </w:rPr>
        <w:t>，</w:t>
      </w:r>
      <w:r>
        <w:rPr>
          <w:lang w:eastAsia="zh-CN"/>
        </w:rPr>
        <w:t>举办年会</w:t>
      </w:r>
      <w:r>
        <w:rPr>
          <w:rFonts w:hint="eastAsia"/>
          <w:lang w:eastAsia="zh-CN"/>
        </w:rPr>
        <w:t>、学习交流、</w:t>
      </w:r>
      <w:r>
        <w:rPr>
          <w:lang w:eastAsia="zh-CN"/>
        </w:rPr>
        <w:t>培训等多种形式的活动</w:t>
      </w:r>
      <w:r>
        <w:rPr>
          <w:rFonts w:hint="eastAsia"/>
          <w:lang w:eastAsia="zh-CN"/>
        </w:rPr>
        <w:t>，</w:t>
      </w:r>
      <w:r>
        <w:rPr>
          <w:lang w:eastAsia="zh-CN"/>
        </w:rPr>
        <w:t>对本行业</w:t>
      </w:r>
      <w:r>
        <w:rPr>
          <w:rFonts w:hint="eastAsia"/>
          <w:lang w:eastAsia="zh-CN"/>
        </w:rPr>
        <w:t>、</w:t>
      </w:r>
      <w:r>
        <w:rPr>
          <w:lang w:eastAsia="zh-CN"/>
        </w:rPr>
        <w:t>本领域社会组织开展政策和业务指导</w:t>
      </w:r>
      <w:r>
        <w:rPr>
          <w:rFonts w:hint="eastAsia"/>
          <w:lang w:eastAsia="zh-CN"/>
        </w:rPr>
        <w:t>。</w:t>
      </w:r>
    </w:p>
    <w:p>
      <w:pPr>
        <w:pStyle w:val="27"/>
        <w:numPr>
          <w:ilvl w:val="0"/>
          <w:numId w:val="0"/>
        </w:numPr>
        <w:jc w:val="both"/>
      </w:pPr>
      <w:r>
        <w:t>8</w:t>
      </w:r>
      <w:r>
        <w:rPr>
          <w:rFonts w:hint="eastAsia"/>
        </w:rPr>
        <w:t>.1.1.4其他职能部门</w:t>
      </w:r>
    </w:p>
    <w:p>
      <w:pPr>
        <w:pStyle w:val="9"/>
        <w:ind w:left="0" w:firstLine="420" w:firstLineChars="200"/>
        <w:jc w:val="both"/>
        <w:rPr>
          <w:lang w:eastAsia="zh-CN"/>
        </w:rPr>
      </w:pPr>
      <w:r>
        <w:rPr>
          <w:rFonts w:hint="eastAsia"/>
          <w:lang w:eastAsia="zh-CN"/>
        </w:rPr>
        <w:t>财政、税务、人力资源社会保障等部门按照职能分工有针对性地开展社会组织能力建设指导活动。财政、税务部门应针对公益性捐赠税前扣除、非营利组织免税资格认定、票据管理使用等相关事项每年开展专题培训或制定相关操作指引。人力资源社会保障部门开展社会组织人才服务活动，</w:t>
      </w:r>
      <w:r>
        <w:rPr>
          <w:lang w:eastAsia="zh-CN"/>
        </w:rPr>
        <w:t>畅通社会组织专业技术人员职称申报和技能等级认定渠道</w:t>
      </w:r>
      <w:r>
        <w:rPr>
          <w:rFonts w:hint="eastAsia"/>
          <w:lang w:eastAsia="zh-CN"/>
        </w:rPr>
        <w:t>，推动社会组织人才队伍职业化、专业化建设。</w:t>
      </w:r>
    </w:p>
    <w:p>
      <w:pPr>
        <w:pStyle w:val="40"/>
        <w:ind w:left="0"/>
      </w:pPr>
      <w:r>
        <w:rPr>
          <w:rFonts w:hint="eastAsia"/>
        </w:rPr>
        <w:t>校地</w:t>
      </w:r>
      <w:r>
        <w:t>合作</w:t>
      </w:r>
      <w:r>
        <w:rPr>
          <w:rFonts w:hint="eastAsia"/>
        </w:rPr>
        <w:t>共育</w:t>
      </w:r>
    </w:p>
    <w:p>
      <w:pPr>
        <w:pStyle w:val="9"/>
        <w:widowControl/>
        <w:ind w:left="0" w:firstLine="420" w:firstLineChars="200"/>
        <w:jc w:val="both"/>
        <w:rPr>
          <w:lang w:eastAsia="zh-CN"/>
        </w:rPr>
      </w:pPr>
      <w:r>
        <w:rPr>
          <w:rFonts w:hint="eastAsia"/>
          <w:lang w:eastAsia="zh-CN"/>
        </w:rPr>
        <w:t>社会组织登记管理机关、行业管理部门等与高等院校、科研院所、社会智库等合作，设立社会组织能力建设基地、社会组织学院等多种平台载体，开展常态化、专业化、系统化的社会组织能力建设活动。</w:t>
      </w:r>
    </w:p>
    <w:p>
      <w:pPr>
        <w:pStyle w:val="40"/>
        <w:ind w:left="0"/>
      </w:pPr>
      <w:r>
        <w:rPr>
          <w:rFonts w:hint="eastAsia"/>
        </w:rPr>
        <w:t>区域联合共建</w:t>
      </w:r>
    </w:p>
    <w:p>
      <w:pPr>
        <w:pStyle w:val="9"/>
        <w:ind w:left="0" w:firstLine="420" w:firstLineChars="200"/>
        <w:jc w:val="both"/>
        <w:rPr>
          <w:lang w:eastAsia="zh-CN"/>
        </w:rPr>
      </w:pPr>
      <w:r>
        <w:rPr>
          <w:lang w:eastAsia="zh-CN"/>
        </w:rPr>
        <w:t>围绕粤港澳大湾区</w:t>
      </w:r>
      <w:r>
        <w:rPr>
          <w:rFonts w:hint="eastAsia"/>
          <w:lang w:eastAsia="zh-CN"/>
        </w:rPr>
        <w:t>、深圳先行示范区</w:t>
      </w:r>
      <w:r>
        <w:rPr>
          <w:lang w:eastAsia="zh-CN"/>
        </w:rPr>
        <w:t>“双区”建设战略</w:t>
      </w:r>
      <w:r>
        <w:rPr>
          <w:rFonts w:hint="eastAsia"/>
          <w:lang w:eastAsia="zh-CN"/>
        </w:rPr>
        <w:t>，建立跨区域的社会组织能力建设和专业人才培养联动机制，</w:t>
      </w:r>
      <w:r>
        <w:rPr>
          <w:lang w:eastAsia="zh-CN"/>
        </w:rPr>
        <w:t>搭建多样化的</w:t>
      </w:r>
      <w:r>
        <w:rPr>
          <w:rFonts w:hint="eastAsia"/>
          <w:lang w:eastAsia="zh-CN"/>
        </w:rPr>
        <w:t>学习交流</w:t>
      </w:r>
      <w:r>
        <w:rPr>
          <w:lang w:eastAsia="zh-CN"/>
        </w:rPr>
        <w:t>与合作平台</w:t>
      </w:r>
      <w:r>
        <w:rPr>
          <w:rFonts w:hint="eastAsia"/>
          <w:lang w:eastAsia="zh-CN"/>
        </w:rPr>
        <w:t>，实现社会组织领域信息、资源、技术共享，发挥粤港澳大湾区的辐射带动作用。</w:t>
      </w:r>
    </w:p>
    <w:p>
      <w:pPr>
        <w:pStyle w:val="27"/>
        <w:ind w:left="0"/>
      </w:pPr>
      <w:r>
        <w:rPr>
          <w:rFonts w:hint="eastAsia"/>
        </w:rPr>
        <w:t>枢纽型社会组织立体支持</w:t>
      </w:r>
    </w:p>
    <w:p>
      <w:pPr>
        <w:pStyle w:val="40"/>
        <w:ind w:left="0"/>
      </w:pPr>
      <w:r>
        <w:rPr>
          <w:rFonts w:hint="eastAsia"/>
        </w:rPr>
        <w:t>开发培训课程和教材</w:t>
      </w:r>
    </w:p>
    <w:p>
      <w:pPr>
        <w:pStyle w:val="9"/>
        <w:ind w:left="0" w:firstLine="420" w:firstLineChars="200"/>
        <w:jc w:val="both"/>
        <w:rPr>
          <w:lang w:eastAsia="zh-CN"/>
        </w:rPr>
      </w:pPr>
      <w:r>
        <w:rPr>
          <w:rFonts w:hint="eastAsia"/>
          <w:lang w:eastAsia="zh-CN"/>
        </w:rPr>
        <w:t>根据社会组织通用能力和专有能力建设内容，编写培训教材，建立社会组织课程库、师资库、案例库，开发系列培训课程。其中，要</w:t>
      </w:r>
      <w:r>
        <w:rPr>
          <w:lang w:eastAsia="zh-CN"/>
        </w:rPr>
        <w:t>充分运用现代信息技术和互联网工具</w:t>
      </w:r>
      <w:r>
        <w:rPr>
          <w:rFonts w:hint="eastAsia"/>
          <w:lang w:eastAsia="zh-CN"/>
        </w:rPr>
        <w:t>，</w:t>
      </w:r>
      <w:r>
        <w:rPr>
          <w:lang w:eastAsia="zh-CN"/>
        </w:rPr>
        <w:t>开发社会组织在线</w:t>
      </w:r>
      <w:r>
        <w:rPr>
          <w:rFonts w:hint="eastAsia"/>
          <w:lang w:eastAsia="zh-CN"/>
        </w:rPr>
        <w:t>课程，建立在线教育学习平台。</w:t>
      </w:r>
    </w:p>
    <w:p>
      <w:pPr>
        <w:pStyle w:val="40"/>
        <w:ind w:left="0"/>
      </w:pPr>
      <w:r>
        <w:rPr>
          <w:rFonts w:hint="eastAsia"/>
        </w:rPr>
        <w:t>开展能力建设活动</w:t>
      </w:r>
    </w:p>
    <w:p>
      <w:pPr>
        <w:pStyle w:val="9"/>
        <w:ind w:left="0" w:firstLine="420" w:firstLineChars="200"/>
        <w:jc w:val="both"/>
        <w:rPr>
          <w:lang w:eastAsia="zh-CN"/>
        </w:rPr>
      </w:pPr>
      <w:r>
        <w:rPr>
          <w:rFonts w:hint="eastAsia"/>
          <w:lang w:eastAsia="zh-CN"/>
        </w:rPr>
        <w:t>根据社会组织的不同类型及所处发展阶段，科学评估社会组织能力发展水平，面向社会组织负责人、管理者、从业人员、志愿者等开展培训、参访交流、督导咨询等多种形式的能力建设活动，并应用“互联网+培训”等新的模式，扩大能力建设活动的覆盖面和受益面。</w:t>
      </w:r>
    </w:p>
    <w:p>
      <w:pPr>
        <w:pStyle w:val="40"/>
        <w:ind w:left="0"/>
      </w:pPr>
      <w:r>
        <w:rPr>
          <w:rFonts w:hint="eastAsia"/>
        </w:rPr>
        <w:t>搭建行业交流合作平台</w:t>
      </w:r>
    </w:p>
    <w:p>
      <w:pPr>
        <w:pStyle w:val="9"/>
        <w:ind w:left="0" w:firstLine="420" w:firstLineChars="200"/>
        <w:jc w:val="both"/>
        <w:rPr>
          <w:lang w:eastAsia="zh-CN"/>
        </w:rPr>
      </w:pPr>
      <w:r>
        <w:rPr>
          <w:rFonts w:hint="eastAsia"/>
          <w:lang w:eastAsia="zh-CN"/>
        </w:rPr>
        <w:t>定期举办社会组织行业交流活动，搭建行业学习合作平台，</w:t>
      </w:r>
      <w:r>
        <w:rPr>
          <w:lang w:eastAsia="zh-CN"/>
        </w:rPr>
        <w:t>促进社会组织发展经验交流与分享</w:t>
      </w:r>
      <w:r>
        <w:rPr>
          <w:rFonts w:hint="eastAsia"/>
          <w:lang w:eastAsia="zh-CN"/>
        </w:rPr>
        <w:t>，实现社会组织互学互促、共同发展。</w:t>
      </w:r>
    </w:p>
    <w:p>
      <w:pPr>
        <w:pStyle w:val="40"/>
        <w:ind w:left="0"/>
      </w:pPr>
      <w:r>
        <w:rPr>
          <w:rFonts w:hint="eastAsia"/>
        </w:rPr>
        <w:t>制定团体标准</w:t>
      </w:r>
    </w:p>
    <w:p>
      <w:pPr>
        <w:pStyle w:val="9"/>
        <w:ind w:left="0" w:firstLine="420" w:firstLineChars="200"/>
        <w:jc w:val="both"/>
        <w:rPr>
          <w:lang w:eastAsia="zh-CN"/>
        </w:rPr>
      </w:pPr>
      <w:r>
        <w:rPr>
          <w:rFonts w:hint="eastAsia"/>
          <w:lang w:eastAsia="zh-CN"/>
        </w:rPr>
        <w:t>增加社会组织领域标准有效供给，牵头制定和发布社会组织团体标准，</w:t>
      </w:r>
      <w:r>
        <w:rPr>
          <w:lang w:eastAsia="zh-CN"/>
        </w:rPr>
        <w:t>供社会组织自愿采用</w:t>
      </w:r>
      <w:r>
        <w:rPr>
          <w:rFonts w:hint="eastAsia"/>
          <w:lang w:eastAsia="zh-CN"/>
        </w:rPr>
        <w:t>，</w:t>
      </w:r>
      <w:r>
        <w:rPr>
          <w:lang w:eastAsia="zh-CN"/>
        </w:rPr>
        <w:t>引领社会组织专业化发展</w:t>
      </w:r>
      <w:r>
        <w:rPr>
          <w:rFonts w:hint="eastAsia"/>
          <w:lang w:eastAsia="zh-CN"/>
        </w:rPr>
        <w:t>，</w:t>
      </w:r>
      <w:r>
        <w:rPr>
          <w:lang w:eastAsia="zh-CN"/>
        </w:rPr>
        <w:t>提升社会组织整体服务水平和创新能力</w:t>
      </w:r>
      <w:r>
        <w:rPr>
          <w:rFonts w:hint="eastAsia"/>
          <w:lang w:eastAsia="zh-CN"/>
        </w:rPr>
        <w:t>。</w:t>
      </w:r>
    </w:p>
    <w:p>
      <w:pPr>
        <w:pStyle w:val="27"/>
        <w:ind w:left="0"/>
      </w:pPr>
      <w:r>
        <w:rPr>
          <w:rFonts w:hint="eastAsia"/>
        </w:rPr>
        <w:t>高校、科研院所和第三方服务机构专业支持</w:t>
      </w:r>
    </w:p>
    <w:p>
      <w:pPr>
        <w:pStyle w:val="9"/>
        <w:ind w:left="0" w:firstLine="420" w:firstLineChars="200"/>
        <w:jc w:val="both"/>
        <w:rPr>
          <w:lang w:eastAsia="zh-CN"/>
        </w:rPr>
      </w:pPr>
      <w:r>
        <w:rPr>
          <w:rFonts w:hint="eastAsia"/>
          <w:lang w:eastAsia="zh-CN"/>
        </w:rPr>
        <w:t>鼓励有条件的高等学校设置社会组织专业，培养社会组织专业人才，支持高等学校和科研机构开展社会组织理论研究。支持为社会组织提供法律、财务、筹资、投资、人力资源管理、传播、评估、培训、咨询等多样化服务的企业、社会智库及专业机构的成立和发展，发挥其在社会组织能力建设中的专业支持作用。</w:t>
      </w:r>
    </w:p>
    <w:p>
      <w:pPr>
        <w:pStyle w:val="27"/>
        <w:ind w:left="0"/>
      </w:pPr>
      <w:r>
        <w:rPr>
          <w:rFonts w:hint="eastAsia"/>
        </w:rPr>
        <w:t>社会组织对口支援</w:t>
      </w:r>
    </w:p>
    <w:p>
      <w:pPr>
        <w:pStyle w:val="9"/>
        <w:ind w:left="0" w:firstLine="420" w:firstLineChars="200"/>
        <w:jc w:val="both"/>
        <w:rPr>
          <w:lang w:eastAsia="zh-CN"/>
        </w:rPr>
      </w:pPr>
      <w:r>
        <w:rPr>
          <w:rFonts w:hint="eastAsia"/>
          <w:lang w:eastAsia="zh-CN"/>
        </w:rPr>
        <w:t>建立社会组织对口支援机制，引导珠三角地区相关政府职能部门、企业、社会组织等牵手粤东西北地区，提供人才培养、项目合作、资源链接、技术援助等多方面的持续支持，促进基层、乡村和粤东西北地区社会组织能力提升，促进社会组织城乡区域协调发展。</w:t>
      </w:r>
    </w:p>
    <w:p>
      <w:pPr>
        <w:pStyle w:val="27"/>
        <w:ind w:left="0"/>
      </w:pPr>
      <w:r>
        <w:rPr>
          <w:rFonts w:hint="eastAsia"/>
        </w:rPr>
        <w:t>社会组织内部建设</w:t>
      </w:r>
    </w:p>
    <w:p>
      <w:pPr>
        <w:pStyle w:val="40"/>
        <w:ind w:left="0"/>
      </w:pPr>
      <w:r>
        <w:rPr>
          <w:rFonts w:hint="eastAsia"/>
        </w:rPr>
        <w:t>组织规范化建设</w:t>
      </w:r>
    </w:p>
    <w:p>
      <w:pPr>
        <w:pStyle w:val="9"/>
        <w:ind w:left="0" w:firstLine="420" w:firstLineChars="200"/>
        <w:jc w:val="both"/>
        <w:rPr>
          <w:lang w:eastAsia="zh-CN"/>
        </w:rPr>
      </w:pPr>
      <w:r>
        <w:rPr>
          <w:rFonts w:hint="eastAsia"/>
          <w:lang w:eastAsia="zh-CN"/>
        </w:rPr>
        <w:t>符合评估条件的社会组织应积极参加社会组织等级评估，促进自我管理、自我完善和自我发展，降低组织运营风险，提升组织公信力。</w:t>
      </w:r>
    </w:p>
    <w:p>
      <w:pPr>
        <w:pStyle w:val="40"/>
        <w:ind w:left="0"/>
      </w:pPr>
      <w:r>
        <w:rPr>
          <w:rFonts w:hint="eastAsia"/>
        </w:rPr>
        <w:t>建立学习型组织</w:t>
      </w:r>
    </w:p>
    <w:p>
      <w:pPr>
        <w:pStyle w:val="9"/>
        <w:ind w:left="0" w:firstLine="420" w:firstLineChars="200"/>
        <w:jc w:val="both"/>
        <w:rPr>
          <w:lang w:eastAsia="zh-CN"/>
        </w:rPr>
      </w:pPr>
      <w:r>
        <w:rPr>
          <w:rFonts w:hint="eastAsia"/>
          <w:lang w:eastAsia="zh-CN"/>
        </w:rPr>
        <w:t>通过打造学习型组织文化，支持社会组织负责人、管理者、从业人员、志愿者等持续学习新知识、新技能，激发组织成员潜能；不断优化组织决策和管理模式，建立扁平化的组织结构，提高组织快速适应变化的能力。</w:t>
      </w:r>
    </w:p>
    <w:p>
      <w:pPr>
        <w:pStyle w:val="40"/>
        <w:ind w:left="0"/>
      </w:pPr>
      <w:r>
        <w:rPr>
          <w:rFonts w:hint="eastAsia"/>
        </w:rPr>
        <w:t>提供经费保障</w:t>
      </w:r>
    </w:p>
    <w:p>
      <w:pPr>
        <w:pStyle w:val="9"/>
        <w:ind w:left="0" w:firstLine="420" w:firstLineChars="200"/>
        <w:jc w:val="both"/>
        <w:rPr>
          <w:lang w:eastAsia="zh-CN"/>
        </w:rPr>
      </w:pPr>
      <w:r>
        <w:rPr>
          <w:rFonts w:hint="eastAsia"/>
          <w:lang w:eastAsia="zh-CN"/>
        </w:rPr>
        <w:t>在社会组织年度预算中设立能力建设专门经费，为组织成员参与能力建设培训及相关学习活动提供稳定、持续的经费保障。</w:t>
      </w:r>
    </w:p>
    <w:p>
      <w:pPr>
        <w:pStyle w:val="40"/>
        <w:ind w:left="0"/>
      </w:pPr>
      <w:r>
        <w:rPr>
          <w:rFonts w:hint="eastAsia"/>
        </w:rPr>
        <w:t>建立考核与激励机制</w:t>
      </w:r>
    </w:p>
    <w:p>
      <w:pPr>
        <w:pStyle w:val="9"/>
        <w:ind w:left="0" w:firstLine="420" w:firstLineChars="200"/>
        <w:jc w:val="both"/>
        <w:rPr>
          <w:lang w:eastAsia="zh-CN"/>
        </w:rPr>
      </w:pPr>
      <w:r>
        <w:rPr>
          <w:rFonts w:hint="eastAsia"/>
          <w:lang w:eastAsia="zh-CN"/>
        </w:rPr>
        <w:t>建立符合社会组织自身性质和特点的能力测评体系，对社会组织负责人、管理者、从业人员、志愿者等进行测评，将能力评价纳入年度考核体系之中；基于年度考核体系，建立完善并落实包含薪资待遇、职务晋升、表彰奖励等内容的激励机制。</w:t>
      </w:r>
    </w:p>
    <w:p>
      <w:pPr>
        <w:pStyle w:val="9"/>
        <w:ind w:left="0" w:firstLine="420" w:firstLineChars="200"/>
        <w:jc w:val="both"/>
        <w:rPr>
          <w:lang w:eastAsia="zh-CN"/>
        </w:rPr>
      </w:pPr>
    </w:p>
    <w:p>
      <w:pPr>
        <w:pStyle w:val="9"/>
        <w:ind w:left="0" w:firstLine="420" w:firstLineChars="200"/>
        <w:jc w:val="both"/>
        <w:rPr>
          <w:lang w:eastAsia="zh-CN"/>
        </w:rPr>
      </w:pPr>
    </w:p>
    <w:p>
      <w:pPr>
        <w:pStyle w:val="9"/>
        <w:ind w:left="0" w:firstLine="420" w:firstLineChars="200"/>
        <w:jc w:val="both"/>
        <w:rPr>
          <w:lang w:eastAsia="zh-CN"/>
        </w:rPr>
      </w:pPr>
    </w:p>
    <w:p>
      <w:pPr>
        <w:pStyle w:val="9"/>
        <w:ind w:left="0" w:firstLine="420" w:firstLineChars="200"/>
        <w:jc w:val="both"/>
        <w:rPr>
          <w:lang w:eastAsia="zh-CN"/>
        </w:rPr>
      </w:pPr>
    </w:p>
    <w:bookmarkEnd w:id="40"/>
    <w:bookmarkEnd w:id="41"/>
    <w:p>
      <w:pPr>
        <w:pStyle w:val="67"/>
        <w:tabs>
          <w:tab w:val="left" w:pos="0"/>
          <w:tab w:val="clear" w:pos="6405"/>
        </w:tabs>
        <w:spacing w:before="120"/>
        <w:ind w:left="0"/>
      </w:pPr>
      <w:r>
        <w:br w:type="textWrapping"/>
      </w:r>
      <w:r>
        <w:rPr>
          <w:rFonts w:hint="eastAsia"/>
        </w:rPr>
        <w:t>（规范性）</w:t>
      </w:r>
      <w:r>
        <w:br w:type="textWrapping"/>
      </w:r>
      <w:r>
        <w:rPr>
          <w:rFonts w:hint="eastAsia"/>
        </w:rPr>
        <w:t>社会组织通用能力建设内容</w:t>
      </w:r>
    </w:p>
    <w:p>
      <w:pPr>
        <w:pStyle w:val="9"/>
        <w:ind w:left="0" w:firstLine="420" w:firstLineChars="200"/>
        <w:rPr>
          <w:lang w:eastAsia="zh-CN"/>
        </w:rPr>
      </w:pPr>
      <w:r>
        <w:rPr>
          <w:rFonts w:hint="eastAsia"/>
          <w:lang w:eastAsia="zh-CN"/>
        </w:rPr>
        <w:t>社会组织通用能力包括法人治理能力、战略规划能力、组织管理能力、可持续发展能力、社会互动与合作能力</w:t>
      </w:r>
      <w:r>
        <w:rPr>
          <w:lang w:eastAsia="zh-CN"/>
        </w:rPr>
        <w:t>5</w:t>
      </w:r>
      <w:r>
        <w:rPr>
          <w:rFonts w:hint="eastAsia"/>
          <w:lang w:eastAsia="zh-CN"/>
        </w:rPr>
        <w:t>个模块。通用能力建设内容如表A.1所示。</w:t>
      </w:r>
    </w:p>
    <w:p>
      <w:pPr>
        <w:pStyle w:val="9"/>
        <w:spacing w:before="120" w:beforeLines="50" w:after="120" w:afterLines="50"/>
        <w:ind w:left="0"/>
        <w:jc w:val="center"/>
        <w:rPr>
          <w:rFonts w:ascii="黑体" w:hAnsi="黑体" w:eastAsia="黑体"/>
          <w:lang w:eastAsia="zh-CN"/>
        </w:rPr>
      </w:pPr>
      <w:r>
        <w:rPr>
          <w:rFonts w:ascii="黑体" w:hAnsi="黑体" w:eastAsia="黑体"/>
          <w:lang w:eastAsia="zh-CN"/>
        </w:rPr>
        <w:t>表A.1社会组织通用能力</w:t>
      </w:r>
      <w:r>
        <w:rPr>
          <w:rFonts w:hint="eastAsia" w:ascii="黑体" w:hAnsi="黑体" w:eastAsia="黑体"/>
          <w:lang w:eastAsia="zh-CN"/>
        </w:rPr>
        <w:t>建设内容</w:t>
      </w:r>
    </w:p>
    <w:tbl>
      <w:tblPr>
        <w:tblStyle w:val="24"/>
        <w:tblW w:w="94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560"/>
        <w:gridCol w:w="4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blHeader/>
          <w:jc w:val="center"/>
        </w:trPr>
        <w:tc>
          <w:tcPr>
            <w:tcW w:w="1340" w:type="dxa"/>
            <w:tcBorders>
              <w:top w:val="single" w:color="auto" w:sz="12" w:space="0"/>
              <w:bottom w:val="single" w:color="auto" w:sz="12"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hint="eastAsia" w:asciiTheme="minorEastAsia" w:hAnsiTheme="minorEastAsia" w:eastAsiaTheme="minorEastAsia"/>
                <w:b/>
                <w:bCs/>
                <w:sz w:val="18"/>
                <w:szCs w:val="18"/>
                <w:lang w:eastAsia="zh-CN"/>
              </w:rPr>
              <w:t>一级指标</w:t>
            </w:r>
          </w:p>
        </w:tc>
        <w:tc>
          <w:tcPr>
            <w:tcW w:w="1701" w:type="dxa"/>
            <w:tcBorders>
              <w:top w:val="single" w:color="auto" w:sz="12" w:space="0"/>
              <w:bottom w:val="single" w:color="auto" w:sz="12"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asciiTheme="minorEastAsia" w:hAnsiTheme="minorEastAsia" w:eastAsiaTheme="minorEastAsia"/>
                <w:b/>
                <w:bCs/>
                <w:sz w:val="18"/>
                <w:szCs w:val="18"/>
                <w:lang w:eastAsia="zh-CN"/>
              </w:rPr>
              <w:t>二级指标</w:t>
            </w:r>
          </w:p>
        </w:tc>
        <w:tc>
          <w:tcPr>
            <w:tcW w:w="1560" w:type="dxa"/>
            <w:tcBorders>
              <w:top w:val="single" w:color="auto" w:sz="12" w:space="0"/>
              <w:bottom w:val="single" w:color="auto" w:sz="12"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asciiTheme="minorEastAsia" w:hAnsiTheme="minorEastAsia" w:eastAsiaTheme="minorEastAsia"/>
                <w:b/>
                <w:bCs/>
                <w:sz w:val="18"/>
                <w:szCs w:val="18"/>
                <w:lang w:eastAsia="zh-CN"/>
              </w:rPr>
              <w:t>三级指标</w:t>
            </w:r>
          </w:p>
        </w:tc>
        <w:tc>
          <w:tcPr>
            <w:tcW w:w="4885" w:type="dxa"/>
            <w:tcBorders>
              <w:top w:val="single" w:color="auto" w:sz="12" w:space="0"/>
              <w:bottom w:val="single" w:color="auto" w:sz="12" w:space="0"/>
            </w:tcBorders>
            <w:shd w:val="clear" w:color="auto" w:fill="auto"/>
            <w:vAlign w:val="center"/>
          </w:tcPr>
          <w:p>
            <w:pPr>
              <w:widowControl/>
              <w:jc w:val="center"/>
              <w:rPr>
                <w:rFonts w:asciiTheme="minorEastAsia" w:hAnsiTheme="minorEastAsia" w:eastAsiaTheme="minorEastAsia"/>
                <w:b/>
                <w:bCs/>
                <w:sz w:val="18"/>
                <w:szCs w:val="18"/>
                <w:lang w:eastAsia="zh-CN"/>
              </w:rPr>
            </w:pPr>
            <w:r>
              <w:rPr>
                <w:rFonts w:asciiTheme="minorEastAsia" w:hAnsiTheme="minorEastAsia" w:eastAsiaTheme="minorEastAsia"/>
                <w:b/>
                <w:bCs/>
                <w:sz w:val="18"/>
                <w:szCs w:val="18"/>
                <w:lang w:eastAsia="zh-CN"/>
              </w:rPr>
              <w:t>内容描述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340" w:type="dxa"/>
            <w:vMerge w:val="restart"/>
            <w:tcBorders>
              <w:top w:val="single" w:color="auto" w:sz="12" w:space="0"/>
            </w:tcBorders>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法人</w:t>
            </w:r>
            <w:r>
              <w:rPr>
                <w:rFonts w:asciiTheme="minorEastAsia" w:hAnsiTheme="minorEastAsia" w:eastAsiaTheme="minorEastAsia"/>
                <w:sz w:val="18"/>
                <w:szCs w:val="18"/>
                <w:lang w:eastAsia="zh-CN"/>
              </w:rPr>
              <w:t>治理能力</w:t>
            </w:r>
          </w:p>
        </w:tc>
        <w:tc>
          <w:tcPr>
            <w:tcW w:w="1701" w:type="dxa"/>
            <w:vMerge w:val="restart"/>
            <w:tcBorders>
              <w:top w:val="single" w:color="auto" w:sz="12" w:space="0"/>
            </w:tcBorders>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党组织建设</w:t>
            </w:r>
          </w:p>
        </w:tc>
        <w:tc>
          <w:tcPr>
            <w:tcW w:w="1560" w:type="dxa"/>
            <w:tcBorders>
              <w:top w:val="single" w:color="auto" w:sz="12" w:space="0"/>
            </w:tcBorders>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党组织建立</w:t>
            </w:r>
          </w:p>
        </w:tc>
        <w:tc>
          <w:tcPr>
            <w:tcW w:w="4885" w:type="dxa"/>
            <w:tcBorders>
              <w:top w:val="single" w:color="auto" w:sz="12" w:space="0"/>
            </w:tcBorders>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按照党章规定单独或联合建立党</w:t>
            </w:r>
            <w:r>
              <w:rPr>
                <w:rFonts w:hint="eastAsia" w:asciiTheme="minorEastAsia" w:hAnsiTheme="minorEastAsia" w:eastAsiaTheme="minorEastAsia"/>
                <w:sz w:val="18"/>
                <w:szCs w:val="18"/>
                <w:lang w:eastAsia="zh-CN"/>
              </w:rPr>
              <w:t>支部。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color w:val="auto"/>
                <w:sz w:val="18"/>
                <w:szCs w:val="18"/>
                <w:lang w:eastAsia="zh-CN"/>
              </w:rPr>
            </w:pPr>
            <w:r>
              <w:rPr>
                <w:rFonts w:asciiTheme="minorEastAsia" w:hAnsiTheme="minorEastAsia" w:eastAsiaTheme="minorEastAsia"/>
                <w:color w:val="auto"/>
                <w:sz w:val="18"/>
                <w:szCs w:val="18"/>
                <w:lang w:eastAsia="zh-CN"/>
              </w:rPr>
              <w:t>党组织</w:t>
            </w:r>
            <w:r>
              <w:rPr>
                <w:rFonts w:hint="eastAsia" w:asciiTheme="minorEastAsia" w:hAnsiTheme="minorEastAsia" w:eastAsiaTheme="minorEastAsia"/>
                <w:color w:val="auto"/>
                <w:sz w:val="18"/>
                <w:szCs w:val="18"/>
                <w:lang w:eastAsia="zh-CN"/>
              </w:rPr>
              <w:t>标准</w:t>
            </w:r>
            <w:r>
              <w:rPr>
                <w:rFonts w:asciiTheme="minorEastAsia" w:hAnsiTheme="minorEastAsia" w:eastAsiaTheme="minorEastAsia"/>
                <w:color w:val="auto"/>
                <w:sz w:val="18"/>
                <w:szCs w:val="18"/>
                <w:lang w:eastAsia="zh-CN"/>
              </w:rPr>
              <w:t>化建设</w:t>
            </w:r>
          </w:p>
        </w:tc>
        <w:tc>
          <w:tcPr>
            <w:tcW w:w="4885" w:type="dxa"/>
            <w:shd w:val="clear" w:color="auto" w:fill="auto"/>
            <w:vAlign w:val="center"/>
          </w:tcPr>
          <w:p>
            <w:pPr>
              <w:widowControl/>
              <w:ind w:right="-42" w:rightChars="-19"/>
              <w:rPr>
                <w:rFonts w:asciiTheme="minorEastAsia" w:hAnsiTheme="minorEastAsia" w:eastAsiaTheme="minorEastAsia"/>
                <w:color w:val="auto"/>
                <w:sz w:val="18"/>
                <w:szCs w:val="18"/>
                <w:lang w:eastAsia="zh-CN"/>
              </w:rPr>
            </w:pPr>
            <w:r>
              <w:rPr>
                <w:rFonts w:hint="eastAsia" w:asciiTheme="minorEastAsia" w:hAnsiTheme="minorEastAsia" w:eastAsiaTheme="minorEastAsia"/>
                <w:color w:val="auto"/>
                <w:sz w:val="18"/>
                <w:szCs w:val="18"/>
                <w:lang w:eastAsia="zh-CN"/>
              </w:rPr>
              <w:t>根据《广东省党支部规范化建设指导意见》，按照修订后的社会组织党支部规范化建设指导标准，围绕基本功能、基本组织、基本队伍、基本制度、基本活动、基本保障等方面开展党组织标准化建设。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理事会</w:t>
            </w:r>
            <w:r>
              <w:rPr>
                <w:rFonts w:asciiTheme="minorEastAsia" w:hAnsiTheme="minorEastAsia" w:eastAsiaTheme="minorEastAsia"/>
                <w:sz w:val="18"/>
                <w:szCs w:val="18"/>
                <w:lang w:eastAsia="zh-CN"/>
              </w:rPr>
              <w:t>和监事</w:t>
            </w:r>
            <w:r>
              <w:rPr>
                <w:rFonts w:hint="eastAsia" w:asciiTheme="minorEastAsia" w:hAnsiTheme="minorEastAsia" w:eastAsiaTheme="minorEastAsia"/>
                <w:sz w:val="18"/>
                <w:szCs w:val="18"/>
                <w:lang w:eastAsia="zh-CN"/>
              </w:rPr>
              <w:t>（会）建设</w:t>
            </w:r>
          </w:p>
        </w:tc>
        <w:tc>
          <w:tcPr>
            <w:tcW w:w="1560" w:type="dxa"/>
            <w:shd w:val="clear" w:color="auto" w:fill="auto"/>
            <w:vAlign w:val="center"/>
          </w:tcPr>
          <w:p>
            <w:pPr>
              <w:pStyle w:val="71"/>
              <w:numPr>
                <w:ilvl w:val="0"/>
                <w:numId w:val="0"/>
              </w:num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理事会</w:t>
            </w:r>
            <w:r>
              <w:rPr>
                <w:rFonts w:asciiTheme="minorEastAsia" w:hAnsiTheme="minorEastAsia" w:eastAsiaTheme="minorEastAsia"/>
                <w:sz w:val="18"/>
                <w:szCs w:val="18"/>
              </w:rPr>
              <w:t>建设</w:t>
            </w:r>
          </w:p>
        </w:tc>
        <w:tc>
          <w:tcPr>
            <w:tcW w:w="4885" w:type="dxa"/>
            <w:shd w:val="clear" w:color="auto" w:fill="auto"/>
            <w:vAlign w:val="center"/>
          </w:tcPr>
          <w:p>
            <w:pPr>
              <w:pStyle w:val="71"/>
              <w:numPr>
                <w:ilvl w:val="0"/>
                <w:numId w:val="0"/>
              </w:numPr>
              <w:ind w:right="-42" w:rightChars="-19"/>
              <w:jc w:val="left"/>
              <w:rPr>
                <w:rFonts w:asciiTheme="minorEastAsia" w:hAnsiTheme="minorEastAsia" w:eastAsiaTheme="minorEastAsia"/>
                <w:sz w:val="18"/>
                <w:szCs w:val="18"/>
              </w:rPr>
            </w:pPr>
            <w:r>
              <w:rPr>
                <w:rFonts w:asciiTheme="minorEastAsia" w:hAnsiTheme="minorEastAsia" w:eastAsiaTheme="minorEastAsia"/>
                <w:sz w:val="18"/>
                <w:szCs w:val="18"/>
              </w:rPr>
              <w:t>建立健全理事会工作制度</w:t>
            </w:r>
            <w:r>
              <w:rPr>
                <w:rFonts w:hint="eastAsia" w:asciiTheme="minorEastAsia" w:hAnsiTheme="minorEastAsia" w:eastAsiaTheme="minorEastAsia"/>
                <w:sz w:val="18"/>
                <w:szCs w:val="18"/>
              </w:rPr>
              <w:t>；理事的资格、产生和罢免程序清晰；</w:t>
            </w:r>
            <w:r>
              <w:rPr>
                <w:rFonts w:hint="eastAsia" w:asciiTheme="minorEastAsia" w:hAnsiTheme="minorEastAsia" w:eastAsiaTheme="minorEastAsia"/>
                <w:bCs/>
                <w:sz w:val="18"/>
                <w:szCs w:val="18"/>
              </w:rPr>
              <w:t>理事及理事长的职责、职权明确；理事会严格执行议事规则，决策科学民主；理事会的决议有效执行。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pStyle w:val="71"/>
              <w:numPr>
                <w:ilvl w:val="0"/>
                <w:numId w:val="0"/>
              </w:numPr>
              <w:jc w:val="left"/>
              <w:rPr>
                <w:rFonts w:asciiTheme="minorEastAsia" w:hAnsiTheme="minorEastAsia" w:eastAsiaTheme="minorEastAsia"/>
                <w:sz w:val="18"/>
                <w:szCs w:val="18"/>
              </w:rPr>
            </w:pPr>
            <w:r>
              <w:rPr>
                <w:rFonts w:asciiTheme="minorEastAsia" w:hAnsiTheme="minorEastAsia" w:eastAsiaTheme="minorEastAsia"/>
                <w:sz w:val="18"/>
                <w:szCs w:val="18"/>
              </w:rPr>
              <w:t>监事</w:t>
            </w:r>
            <w:r>
              <w:rPr>
                <w:rFonts w:hint="eastAsia" w:asciiTheme="minorEastAsia" w:hAnsiTheme="minorEastAsia" w:eastAsiaTheme="minorEastAsia"/>
                <w:sz w:val="18"/>
                <w:szCs w:val="18"/>
              </w:rPr>
              <w:t>（</w:t>
            </w:r>
            <w:r>
              <w:rPr>
                <w:rFonts w:asciiTheme="minorEastAsia" w:hAnsiTheme="minorEastAsia" w:eastAsiaTheme="minorEastAsia"/>
                <w:sz w:val="18"/>
                <w:szCs w:val="18"/>
              </w:rPr>
              <w:t>会</w:t>
            </w:r>
            <w:r>
              <w:rPr>
                <w:rFonts w:hint="eastAsia" w:asciiTheme="minorEastAsia" w:hAnsiTheme="minorEastAsia" w:eastAsiaTheme="minorEastAsia"/>
                <w:sz w:val="18"/>
                <w:szCs w:val="18"/>
              </w:rPr>
              <w:t>）</w:t>
            </w:r>
            <w:r>
              <w:rPr>
                <w:rFonts w:asciiTheme="minorEastAsia" w:hAnsiTheme="minorEastAsia" w:eastAsiaTheme="minorEastAsia"/>
                <w:sz w:val="18"/>
                <w:szCs w:val="18"/>
              </w:rPr>
              <w:t>建设</w:t>
            </w:r>
          </w:p>
        </w:tc>
        <w:tc>
          <w:tcPr>
            <w:tcW w:w="4885" w:type="dxa"/>
            <w:shd w:val="clear" w:color="auto" w:fill="auto"/>
            <w:vAlign w:val="center"/>
          </w:tcPr>
          <w:p>
            <w:pPr>
              <w:pStyle w:val="71"/>
              <w:numPr>
                <w:ilvl w:val="0"/>
                <w:numId w:val="0"/>
              </w:numPr>
              <w:ind w:right="-42" w:rightChars="-19"/>
              <w:jc w:val="left"/>
              <w:rPr>
                <w:rFonts w:asciiTheme="minorEastAsia" w:hAnsiTheme="minorEastAsia" w:eastAsiaTheme="minorEastAsia"/>
                <w:sz w:val="18"/>
                <w:szCs w:val="18"/>
              </w:rPr>
            </w:pPr>
            <w:r>
              <w:rPr>
                <w:rFonts w:asciiTheme="minorEastAsia" w:hAnsiTheme="minorEastAsia" w:eastAsiaTheme="minorEastAsia"/>
                <w:sz w:val="18"/>
                <w:szCs w:val="18"/>
              </w:rPr>
              <w:t>建立健全</w:t>
            </w:r>
            <w:r>
              <w:rPr>
                <w:rFonts w:hint="eastAsia" w:asciiTheme="minorEastAsia" w:hAnsiTheme="minorEastAsia" w:eastAsiaTheme="minorEastAsia"/>
                <w:sz w:val="18"/>
                <w:szCs w:val="18"/>
              </w:rPr>
              <w:t>监事（</w:t>
            </w:r>
            <w:r>
              <w:rPr>
                <w:rFonts w:asciiTheme="minorEastAsia" w:hAnsiTheme="minorEastAsia" w:eastAsiaTheme="minorEastAsia"/>
                <w:sz w:val="18"/>
                <w:szCs w:val="18"/>
              </w:rPr>
              <w:t>会</w:t>
            </w:r>
            <w:r>
              <w:rPr>
                <w:rFonts w:hint="eastAsia" w:asciiTheme="minorEastAsia" w:hAnsiTheme="minorEastAsia" w:eastAsiaTheme="minorEastAsia"/>
                <w:sz w:val="18"/>
                <w:szCs w:val="18"/>
              </w:rPr>
              <w:t>）</w:t>
            </w:r>
            <w:r>
              <w:rPr>
                <w:rFonts w:asciiTheme="minorEastAsia" w:hAnsiTheme="minorEastAsia" w:eastAsiaTheme="minorEastAsia"/>
                <w:sz w:val="18"/>
                <w:szCs w:val="18"/>
              </w:rPr>
              <w:t>工作制度</w:t>
            </w:r>
            <w:r>
              <w:rPr>
                <w:rFonts w:hint="eastAsia" w:asciiTheme="minorEastAsia" w:hAnsiTheme="minorEastAsia" w:eastAsiaTheme="minorEastAsia"/>
                <w:sz w:val="18"/>
                <w:szCs w:val="18"/>
              </w:rPr>
              <w:t>；</w:t>
            </w:r>
            <w:r>
              <w:rPr>
                <w:rFonts w:asciiTheme="minorEastAsia" w:hAnsiTheme="minorEastAsia" w:eastAsiaTheme="minorEastAsia"/>
                <w:sz w:val="18"/>
                <w:szCs w:val="18"/>
              </w:rPr>
              <w:t>监事</w:t>
            </w:r>
            <w:r>
              <w:rPr>
                <w:rFonts w:hint="eastAsia" w:asciiTheme="minorEastAsia" w:hAnsiTheme="minorEastAsia" w:eastAsiaTheme="minorEastAsia"/>
                <w:sz w:val="18"/>
                <w:szCs w:val="18"/>
              </w:rPr>
              <w:t>（会）的设立、任职条件、产生和罢免程序清晰；监事（监事长）的职责、职权明确；监事（会）依法行使监督权，并为监事（会）有效开展工作提供必要的保障。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执行机构建设</w:t>
            </w:r>
          </w:p>
        </w:tc>
        <w:tc>
          <w:tcPr>
            <w:tcW w:w="1560" w:type="dxa"/>
            <w:shd w:val="clear" w:color="auto" w:fill="auto"/>
            <w:vAlign w:val="center"/>
          </w:tcPr>
          <w:p>
            <w:pPr>
              <w:widowControl/>
              <w:rPr>
                <w:rFonts w:asciiTheme="minorEastAsia" w:hAnsiTheme="minorEastAsia" w:eastAsiaTheme="minorEastAsia"/>
                <w:sz w:val="18"/>
                <w:szCs w:val="18"/>
                <w:highlight w:val="yellow"/>
                <w:lang w:eastAsia="zh-CN"/>
              </w:rPr>
            </w:pPr>
            <w:r>
              <w:rPr>
                <w:rFonts w:asciiTheme="minorEastAsia" w:hAnsiTheme="minorEastAsia" w:eastAsiaTheme="minorEastAsia"/>
                <w:sz w:val="18"/>
                <w:szCs w:val="18"/>
                <w:lang w:eastAsia="zh-CN"/>
              </w:rPr>
              <w:t>组织架构设置</w:t>
            </w:r>
          </w:p>
        </w:tc>
        <w:tc>
          <w:tcPr>
            <w:tcW w:w="4885" w:type="dxa"/>
            <w:shd w:val="clear" w:color="auto" w:fill="auto"/>
            <w:vAlign w:val="center"/>
          </w:tcPr>
          <w:p>
            <w:pPr>
              <w:widowControl/>
              <w:ind w:right="-42" w:rightChars="-19"/>
              <w:rPr>
                <w:rFonts w:asciiTheme="minorEastAsia" w:hAnsiTheme="minorEastAsia" w:eastAsiaTheme="minorEastAsia"/>
                <w:sz w:val="18"/>
                <w:szCs w:val="18"/>
                <w:highlight w:val="yellow"/>
                <w:lang w:eastAsia="zh-CN"/>
              </w:rPr>
            </w:pPr>
            <w:r>
              <w:rPr>
                <w:rFonts w:asciiTheme="minorEastAsia" w:hAnsiTheme="minorEastAsia" w:eastAsiaTheme="minorEastAsia"/>
                <w:sz w:val="18"/>
                <w:szCs w:val="18"/>
                <w:lang w:eastAsia="zh-CN"/>
              </w:rPr>
              <w:t>执行团队架构设置科学合理</w:t>
            </w:r>
            <w:r>
              <w:rPr>
                <w:rFonts w:hint="eastAsia" w:asciiTheme="minorEastAsia" w:hAnsiTheme="minorEastAsia" w:eastAsiaTheme="minorEastAsia"/>
                <w:sz w:val="18"/>
                <w:szCs w:val="18"/>
                <w:lang w:eastAsia="zh-CN"/>
              </w:rPr>
              <w:t>；内设部门职能职责分工明确、协同配合；管理方式简约、高效。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pStyle w:val="71"/>
              <w:numPr>
                <w:ilvl w:val="0"/>
                <w:numId w:val="0"/>
              </w:numPr>
              <w:jc w:val="left"/>
              <w:rPr>
                <w:rFonts w:asciiTheme="minorEastAsia" w:hAnsiTheme="minorEastAsia" w:eastAsiaTheme="minorEastAsia"/>
                <w:sz w:val="18"/>
                <w:szCs w:val="18"/>
              </w:rPr>
            </w:pPr>
            <w:r>
              <w:rPr>
                <w:rFonts w:asciiTheme="minorEastAsia" w:hAnsiTheme="minorEastAsia" w:eastAsiaTheme="minorEastAsia"/>
                <w:sz w:val="18"/>
                <w:szCs w:val="18"/>
              </w:rPr>
              <w:t>团队执行力</w:t>
            </w:r>
          </w:p>
        </w:tc>
        <w:tc>
          <w:tcPr>
            <w:tcW w:w="4885" w:type="dxa"/>
            <w:shd w:val="clear" w:color="auto" w:fill="auto"/>
            <w:vAlign w:val="center"/>
          </w:tcPr>
          <w:p>
            <w:pPr>
              <w:pStyle w:val="71"/>
              <w:numPr>
                <w:ilvl w:val="0"/>
                <w:numId w:val="0"/>
              </w:numPr>
              <w:ind w:right="-42" w:rightChars="-19"/>
              <w:jc w:val="left"/>
              <w:rPr>
                <w:rFonts w:asciiTheme="minorEastAsia" w:hAnsiTheme="minorEastAsia" w:eastAsiaTheme="minorEastAsia"/>
                <w:sz w:val="18"/>
                <w:szCs w:val="18"/>
              </w:rPr>
            </w:pPr>
            <w:r>
              <w:rPr>
                <w:rFonts w:hint="eastAsia" w:asciiTheme="minorEastAsia" w:hAnsiTheme="minorEastAsia" w:eastAsiaTheme="minorEastAsia"/>
                <w:sz w:val="18"/>
                <w:szCs w:val="18"/>
              </w:rPr>
              <w:t>建立良好的沟通机制；建立有竞争力的薪酬制度；建立透明、科学的监督、考核与激励机制。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内部管理制度建设</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内部制度建设</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建立</w:t>
            </w:r>
            <w:r>
              <w:rPr>
                <w:rFonts w:hint="eastAsia" w:asciiTheme="minorEastAsia" w:hAnsiTheme="minorEastAsia" w:eastAsiaTheme="minorEastAsia"/>
                <w:sz w:val="18"/>
                <w:szCs w:val="18"/>
                <w:lang w:eastAsia="zh-CN"/>
              </w:rPr>
              <w:t>系统</w:t>
            </w:r>
            <w:r>
              <w:rPr>
                <w:rFonts w:asciiTheme="minorEastAsia" w:hAnsiTheme="minorEastAsia" w:eastAsiaTheme="minorEastAsia"/>
                <w:sz w:val="18"/>
                <w:szCs w:val="18"/>
                <w:lang w:eastAsia="zh-CN"/>
              </w:rPr>
              <w:t>的内部管理制度</w:t>
            </w:r>
            <w:r>
              <w:rPr>
                <w:rFonts w:hint="eastAsia" w:asciiTheme="minorEastAsia" w:hAnsiTheme="minorEastAsia" w:eastAsiaTheme="minorEastAsia"/>
                <w:sz w:val="18"/>
                <w:szCs w:val="18"/>
                <w:lang w:eastAsia="zh-CN"/>
              </w:rPr>
              <w:t>，包括但不限于内部治理相关制度、项目（服务）管理制度、财务管理制度、风险管理相关制度、行政管理相关制度等。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等级评估</w:t>
            </w:r>
          </w:p>
        </w:tc>
        <w:tc>
          <w:tcPr>
            <w:tcW w:w="4885" w:type="dxa"/>
            <w:shd w:val="clear" w:color="auto" w:fill="auto"/>
            <w:vAlign w:val="center"/>
          </w:tcPr>
          <w:p>
            <w:pPr>
              <w:widowControl/>
              <w:ind w:right="-42" w:rightChars="-19"/>
              <w:rPr>
                <w:rFonts w:eastAsiaTheme="minorEastAsia"/>
                <w:sz w:val="18"/>
                <w:szCs w:val="18"/>
                <w:lang w:eastAsia="zh-CN"/>
              </w:rPr>
            </w:pPr>
            <w:r>
              <w:rPr>
                <w:rFonts w:hAnsiTheme="minorEastAsia" w:eastAsiaTheme="minorEastAsia"/>
                <w:sz w:val="18"/>
                <w:szCs w:val="18"/>
                <w:lang w:eastAsia="zh-CN"/>
              </w:rPr>
              <w:t>参加社会组织等级评估，努力获得</w:t>
            </w:r>
            <w:r>
              <w:rPr>
                <w:rFonts w:eastAsiaTheme="minorEastAsia"/>
                <w:sz w:val="18"/>
                <w:szCs w:val="18"/>
                <w:lang w:eastAsia="zh-CN"/>
              </w:rPr>
              <w:t>3A</w:t>
            </w:r>
            <w:r>
              <w:rPr>
                <w:rFonts w:hAnsiTheme="minorEastAsia" w:eastAsiaTheme="minorEastAsia"/>
                <w:sz w:val="18"/>
                <w:szCs w:val="18"/>
                <w:lang w:eastAsia="zh-CN"/>
              </w:rPr>
              <w:t>及以上评估等级</w:t>
            </w:r>
            <w:r>
              <w:rPr>
                <w:rFonts w:hint="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1340"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rPr>
              <w:t>战略规划能力</w:t>
            </w: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政策学习能力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政策</w:t>
            </w:r>
            <w:r>
              <w:rPr>
                <w:rFonts w:hint="eastAsia" w:asciiTheme="minorEastAsia" w:hAnsiTheme="minorEastAsia" w:eastAsiaTheme="minorEastAsia"/>
                <w:sz w:val="18"/>
                <w:szCs w:val="18"/>
                <w:lang w:eastAsia="zh-CN"/>
              </w:rPr>
              <w:t>理解</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准确理解、认识和把握</w:t>
            </w:r>
            <w:r>
              <w:rPr>
                <w:rFonts w:asciiTheme="minorEastAsia" w:hAnsiTheme="minorEastAsia" w:eastAsiaTheme="minorEastAsia"/>
                <w:sz w:val="18"/>
                <w:szCs w:val="18"/>
                <w:lang w:eastAsia="zh-CN"/>
              </w:rPr>
              <w:t>社会组织领域相关的各项法律法规和政策</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政策</w:t>
            </w:r>
            <w:r>
              <w:rPr>
                <w:rFonts w:hint="eastAsia" w:asciiTheme="minorEastAsia" w:hAnsiTheme="minorEastAsia" w:eastAsiaTheme="minorEastAsia"/>
                <w:sz w:val="18"/>
                <w:szCs w:val="18"/>
                <w:lang w:eastAsia="zh-CN"/>
              </w:rPr>
              <w:t>应用</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将法治精神融入组织发展全过程；善于抓住政策机遇，促进组织健康发展。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组织评估能力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发展状况评估</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社会组织采取自评或邀请第三方专业机构等方式，定期对组织整体发展状况进行评估。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评估结果应用</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加强评估结果的应用，及时解决组织发展过程中存在的问题，通过持续改进，不断提高社会组织的绩效水平。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发展规划能力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使命</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愿景和价值观</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基于组织设立的初心和价值理念，明晰组织的</w:t>
            </w:r>
            <w:r>
              <w:rPr>
                <w:rFonts w:asciiTheme="minorEastAsia" w:hAnsiTheme="minorEastAsia" w:eastAsiaTheme="minorEastAsia"/>
                <w:sz w:val="18"/>
                <w:szCs w:val="18"/>
                <w:lang w:eastAsia="zh-CN"/>
              </w:rPr>
              <w:t>使命</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愿景和价值观</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发展规划</w:t>
            </w:r>
            <w:r>
              <w:rPr>
                <w:rFonts w:asciiTheme="minorEastAsia" w:hAnsiTheme="minorEastAsia" w:eastAsiaTheme="minorEastAsia"/>
                <w:sz w:val="18"/>
                <w:szCs w:val="18"/>
              </w:rPr>
              <w:t>制定</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制定组织</w:t>
            </w:r>
            <w:r>
              <w:rPr>
                <w:rFonts w:hint="eastAsia" w:asciiTheme="minorEastAsia" w:hAnsiTheme="minorEastAsia" w:eastAsiaTheme="minorEastAsia"/>
                <w:sz w:val="18"/>
                <w:szCs w:val="18"/>
                <w:lang w:eastAsia="zh-CN"/>
              </w:rPr>
              <w:t>中长期发展规划，确立组织长远发展方向、发展目标和前进道路，描绘组织发展蓝图。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文化建设能力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组织文化</w:t>
            </w:r>
            <w:r>
              <w:rPr>
                <w:rFonts w:hint="eastAsia" w:asciiTheme="minorEastAsia" w:hAnsiTheme="minorEastAsia" w:eastAsiaTheme="minorEastAsia"/>
                <w:sz w:val="18"/>
                <w:szCs w:val="18"/>
                <w:lang w:eastAsia="zh-CN"/>
              </w:rPr>
              <w:t>培育</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营造</w:t>
            </w:r>
            <w:r>
              <w:rPr>
                <w:rFonts w:asciiTheme="minorEastAsia" w:hAnsiTheme="minorEastAsia" w:eastAsiaTheme="minorEastAsia"/>
                <w:sz w:val="18"/>
                <w:szCs w:val="18"/>
                <w:lang w:eastAsia="zh-CN"/>
              </w:rPr>
              <w:t>学习型的组织文化</w:t>
            </w:r>
            <w:r>
              <w:rPr>
                <w:rFonts w:hint="eastAsia" w:asciiTheme="minorEastAsia" w:hAnsiTheme="minorEastAsia" w:eastAsiaTheme="minorEastAsia"/>
                <w:sz w:val="18"/>
                <w:szCs w:val="18"/>
                <w:lang w:eastAsia="zh-CN"/>
              </w:rPr>
              <w:t>，展现新时代社会组织良好风貌。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组织文化体系</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结合作为非营利法人的社会组织属性和特征，以制度文化、精神文化建设为重点，构建社会组织特色</w:t>
            </w:r>
            <w:r>
              <w:rPr>
                <w:rFonts w:asciiTheme="minorEastAsia" w:hAnsiTheme="minorEastAsia" w:eastAsiaTheme="minorEastAsia"/>
                <w:sz w:val="18"/>
                <w:szCs w:val="18"/>
                <w:lang w:eastAsia="zh-CN"/>
              </w:rPr>
              <w:t>文化体系</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1340"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组织管理能力</w:t>
            </w: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项目管理能力</w:t>
            </w:r>
          </w:p>
        </w:tc>
        <w:tc>
          <w:tcPr>
            <w:tcW w:w="1560" w:type="dxa"/>
            <w:shd w:val="clear" w:color="auto" w:fill="auto"/>
            <w:vAlign w:val="center"/>
          </w:tcPr>
          <w:p>
            <w:pPr>
              <w:widowControl/>
              <w:rPr>
                <w:rFonts w:asciiTheme="minorEastAsia" w:hAnsiTheme="minorEastAsia" w:eastAsiaTheme="minorEastAsia"/>
                <w:sz w:val="18"/>
                <w:szCs w:val="18"/>
                <w:highlight w:val="yellow"/>
                <w:lang w:eastAsia="zh-CN"/>
              </w:rPr>
            </w:pPr>
            <w:r>
              <w:rPr>
                <w:rFonts w:asciiTheme="minorEastAsia" w:hAnsiTheme="minorEastAsia" w:eastAsiaTheme="minorEastAsia"/>
                <w:sz w:val="18"/>
                <w:szCs w:val="18"/>
                <w:lang w:eastAsia="zh-CN"/>
              </w:rPr>
              <w:t>项目全</w:t>
            </w:r>
            <w:r>
              <w:rPr>
                <w:rFonts w:hint="eastAsia" w:asciiTheme="minorEastAsia" w:hAnsiTheme="minorEastAsia" w:eastAsiaTheme="minorEastAsia"/>
                <w:sz w:val="18"/>
                <w:szCs w:val="18"/>
                <w:lang w:eastAsia="zh-CN"/>
              </w:rPr>
              <w:t>过程</w:t>
            </w:r>
            <w:r>
              <w:rPr>
                <w:rFonts w:asciiTheme="minorEastAsia" w:hAnsiTheme="minorEastAsia" w:eastAsiaTheme="minorEastAsia"/>
                <w:sz w:val="18"/>
                <w:szCs w:val="18"/>
                <w:lang w:eastAsia="zh-CN"/>
              </w:rPr>
              <w:t>管理</w:t>
            </w:r>
          </w:p>
        </w:tc>
        <w:tc>
          <w:tcPr>
            <w:tcW w:w="4885" w:type="dxa"/>
            <w:shd w:val="clear" w:color="auto" w:fill="auto"/>
            <w:vAlign w:val="center"/>
          </w:tcPr>
          <w:p>
            <w:pPr>
              <w:widowControl/>
              <w:ind w:right="-42" w:rightChars="-19"/>
              <w:rPr>
                <w:highlight w:val="yellow"/>
                <w:lang w:eastAsia="zh-CN"/>
              </w:rPr>
            </w:pPr>
            <w:r>
              <w:rPr>
                <w:rFonts w:hint="eastAsia" w:asciiTheme="minorEastAsia" w:hAnsiTheme="minorEastAsia" w:eastAsiaTheme="minorEastAsia"/>
                <w:sz w:val="18"/>
                <w:szCs w:val="18"/>
                <w:lang w:eastAsia="zh-CN"/>
              </w:rPr>
              <w:t>建立包括项目开发设计、项目立项、项目实施、项目监测和评估、项目结项等内容的全过程项目管理体系。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利益相关方管理</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与项目各利益相关方建立伙伴关系，促进相关方的有效、持续参与，形成工作合力，推动项目的可持续发展。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财务管理能力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财务</w:t>
            </w:r>
            <w:r>
              <w:rPr>
                <w:rFonts w:hint="eastAsia" w:asciiTheme="minorEastAsia" w:hAnsiTheme="minorEastAsia" w:eastAsiaTheme="minorEastAsia"/>
                <w:sz w:val="18"/>
                <w:szCs w:val="18"/>
                <w:lang w:eastAsia="zh-CN"/>
              </w:rPr>
              <w:t>合规管理</w:t>
            </w:r>
          </w:p>
        </w:tc>
        <w:tc>
          <w:tcPr>
            <w:tcW w:w="4885" w:type="dxa"/>
            <w:shd w:val="clear" w:color="auto" w:fill="auto"/>
            <w:vAlign w:val="center"/>
          </w:tcPr>
          <w:p>
            <w:pPr>
              <w:pStyle w:val="71"/>
              <w:numPr>
                <w:ilvl w:val="0"/>
                <w:numId w:val="0"/>
              </w:numPr>
              <w:ind w:right="-42" w:rightChars="-19"/>
              <w:jc w:val="left"/>
              <w:rPr>
                <w:rFonts w:asciiTheme="minorEastAsia" w:hAnsiTheme="minorEastAsia" w:eastAsiaTheme="minorEastAsia"/>
                <w:sz w:val="18"/>
                <w:szCs w:val="18"/>
              </w:rPr>
            </w:pPr>
            <w:r>
              <w:rPr>
                <w:rFonts w:asciiTheme="minorEastAsia" w:hAnsiTheme="minorEastAsia" w:eastAsiaTheme="minorEastAsia"/>
                <w:sz w:val="18"/>
                <w:szCs w:val="18"/>
              </w:rPr>
              <w:t>按照《中华人民共和国会计法》《民间非营利组织会计制度》等法律</w:t>
            </w:r>
            <w:r>
              <w:rPr>
                <w:rFonts w:hint="eastAsia" w:asciiTheme="minorEastAsia" w:hAnsiTheme="minorEastAsia" w:eastAsiaTheme="minorEastAsia"/>
                <w:sz w:val="18"/>
                <w:szCs w:val="18"/>
              </w:rPr>
              <w:t>制度，完善和落实预算管理、收支管理、投资管理、资产管理等各项财务工作制度，加强内部控制和财务监督。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资金使用</w:t>
            </w:r>
          </w:p>
        </w:tc>
        <w:tc>
          <w:tcPr>
            <w:tcW w:w="4885" w:type="dxa"/>
            <w:shd w:val="clear" w:color="auto" w:fill="auto"/>
            <w:vAlign w:val="center"/>
          </w:tcPr>
          <w:p>
            <w:pPr>
              <w:pStyle w:val="71"/>
              <w:numPr>
                <w:ilvl w:val="0"/>
                <w:numId w:val="0"/>
              </w:numPr>
              <w:ind w:right="-42" w:rightChars="-19"/>
              <w:jc w:val="left"/>
              <w:rPr>
                <w:rFonts w:asciiTheme="minorEastAsia" w:hAnsiTheme="minorEastAsia" w:eastAsiaTheme="minorEastAsia"/>
                <w:sz w:val="18"/>
                <w:szCs w:val="18"/>
              </w:rPr>
            </w:pPr>
            <w:r>
              <w:rPr>
                <w:rFonts w:hint="eastAsia" w:asciiTheme="minorEastAsia" w:hAnsiTheme="minorEastAsia" w:eastAsiaTheme="minorEastAsia"/>
                <w:sz w:val="18"/>
                <w:szCs w:val="18"/>
              </w:rPr>
              <w:t>坚持</w:t>
            </w:r>
            <w:r>
              <w:rPr>
                <w:rFonts w:asciiTheme="minorEastAsia" w:hAnsiTheme="minorEastAsia" w:eastAsiaTheme="minorEastAsia"/>
                <w:sz w:val="18"/>
                <w:szCs w:val="18"/>
              </w:rPr>
              <w:t>节约原则</w:t>
            </w:r>
            <w:r>
              <w:rPr>
                <w:rFonts w:hint="eastAsia" w:asciiTheme="minorEastAsia" w:hAnsiTheme="minorEastAsia" w:eastAsiaTheme="minorEastAsia"/>
                <w:sz w:val="18"/>
                <w:szCs w:val="18"/>
              </w:rPr>
              <w:t>，</w:t>
            </w:r>
            <w:r>
              <w:rPr>
                <w:rFonts w:asciiTheme="minorEastAsia" w:hAnsiTheme="minorEastAsia" w:eastAsiaTheme="minorEastAsia"/>
                <w:sz w:val="18"/>
                <w:szCs w:val="18"/>
              </w:rPr>
              <w:t>结合</w:t>
            </w:r>
            <w:r>
              <w:rPr>
                <w:rFonts w:hint="eastAsia" w:asciiTheme="minorEastAsia" w:hAnsiTheme="minorEastAsia" w:eastAsiaTheme="minorEastAsia"/>
                <w:sz w:val="18"/>
                <w:szCs w:val="18"/>
              </w:rPr>
              <w:t>社会组织</w:t>
            </w:r>
            <w:r>
              <w:rPr>
                <w:rFonts w:asciiTheme="minorEastAsia" w:hAnsiTheme="minorEastAsia" w:eastAsiaTheme="minorEastAsia"/>
                <w:sz w:val="18"/>
                <w:szCs w:val="18"/>
              </w:rPr>
              <w:t>自身的业务活动特点</w:t>
            </w:r>
            <w:r>
              <w:rPr>
                <w:rFonts w:hint="eastAsia" w:asciiTheme="minorEastAsia" w:hAnsiTheme="minorEastAsia" w:eastAsiaTheme="minorEastAsia"/>
                <w:sz w:val="18"/>
                <w:szCs w:val="18"/>
              </w:rPr>
              <w:t>，提高资金使用效率和效益。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rPr>
              <w:t>人力资源管理</w:t>
            </w:r>
            <w:r>
              <w:rPr>
                <w:rFonts w:hint="eastAsia" w:asciiTheme="minorEastAsia" w:hAnsiTheme="minorEastAsia" w:eastAsiaTheme="minorEastAsia"/>
                <w:sz w:val="18"/>
                <w:szCs w:val="18"/>
                <w:lang w:eastAsia="zh-CN"/>
              </w:rPr>
              <w:t>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员工激励</w:t>
            </w:r>
            <w:r>
              <w:rPr>
                <w:rFonts w:asciiTheme="minorEastAsia" w:hAnsiTheme="minorEastAsia" w:eastAsiaTheme="minorEastAsia"/>
                <w:sz w:val="18"/>
                <w:szCs w:val="18"/>
                <w:lang w:eastAsia="zh-CN"/>
              </w:rPr>
              <w:t>管理</w:t>
            </w:r>
          </w:p>
        </w:tc>
        <w:tc>
          <w:tcPr>
            <w:tcW w:w="4885" w:type="dxa"/>
            <w:shd w:val="clear" w:color="auto" w:fill="auto"/>
            <w:vAlign w:val="center"/>
          </w:tcPr>
          <w:p>
            <w:pPr>
              <w:widowControl/>
              <w:ind w:right="-42" w:rightChars="-19"/>
              <w:rPr>
                <w:lang w:eastAsia="zh-CN"/>
              </w:rPr>
            </w:pPr>
            <w:r>
              <w:rPr>
                <w:rFonts w:hint="eastAsia" w:asciiTheme="minorEastAsia" w:hAnsiTheme="minorEastAsia" w:eastAsiaTheme="minorEastAsia"/>
                <w:sz w:val="18"/>
                <w:szCs w:val="18"/>
                <w:lang w:eastAsia="zh-CN"/>
              </w:rPr>
              <w:t>根据组织发展需要，建立包括人才招聘、培训、绩效管理、薪酬管理、劳动关系管理等内容的人力资源管理体系，为员工成长创造良好的环境，增强社会组织对人才的吸引力。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团队赋能</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为</w:t>
            </w:r>
            <w:r>
              <w:rPr>
                <w:rFonts w:hint="eastAsia" w:asciiTheme="minorEastAsia" w:hAnsiTheme="minorEastAsia" w:eastAsiaTheme="minorEastAsia"/>
                <w:sz w:val="18"/>
                <w:szCs w:val="18"/>
                <w:lang w:eastAsia="zh-CN"/>
              </w:rPr>
              <w:t>组织全职与兼职</w:t>
            </w:r>
            <w:r>
              <w:rPr>
                <w:rFonts w:asciiTheme="minorEastAsia" w:hAnsiTheme="minorEastAsia" w:eastAsiaTheme="minorEastAsia"/>
                <w:sz w:val="18"/>
                <w:szCs w:val="18"/>
                <w:lang w:eastAsia="zh-CN"/>
              </w:rPr>
              <w:t>工作人员</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志愿者等提供多样化的学习和培训机会</w:t>
            </w:r>
            <w:r>
              <w:rPr>
                <w:rFonts w:hint="eastAsia" w:asciiTheme="minorEastAsia" w:hAnsiTheme="minorEastAsia" w:eastAsiaTheme="minorEastAsia"/>
                <w:sz w:val="18"/>
                <w:szCs w:val="18"/>
                <w:lang w:eastAsia="zh-CN"/>
              </w:rPr>
              <w:t>，提高工作胜任力。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品牌</w:t>
            </w:r>
            <w:r>
              <w:rPr>
                <w:rFonts w:hint="eastAsia" w:asciiTheme="minorEastAsia" w:hAnsiTheme="minorEastAsia" w:eastAsiaTheme="minorEastAsia"/>
                <w:sz w:val="18"/>
                <w:szCs w:val="18"/>
                <w:lang w:eastAsia="zh-CN"/>
              </w:rPr>
              <w:t>管理</w:t>
            </w:r>
            <w:r>
              <w:rPr>
                <w:rFonts w:asciiTheme="minorEastAsia" w:hAnsiTheme="minorEastAsia" w:eastAsiaTheme="minorEastAsia"/>
                <w:sz w:val="18"/>
                <w:szCs w:val="18"/>
                <w:lang w:eastAsia="zh-CN"/>
              </w:rPr>
              <w:t>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品牌打造</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打造和培育社会组织品牌项目</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建立社会组织品牌识别</w:t>
            </w:r>
            <w:r>
              <w:rPr>
                <w:rFonts w:hint="eastAsia" w:asciiTheme="minorEastAsia" w:hAnsiTheme="minorEastAsia" w:eastAsiaTheme="minorEastAsia"/>
                <w:sz w:val="18"/>
                <w:szCs w:val="18"/>
                <w:lang w:eastAsia="zh-CN"/>
              </w:rPr>
              <w:t>系统；加强</w:t>
            </w:r>
            <w:r>
              <w:rPr>
                <w:rFonts w:asciiTheme="minorEastAsia" w:hAnsiTheme="minorEastAsia" w:eastAsiaTheme="minorEastAsia"/>
                <w:sz w:val="18"/>
                <w:szCs w:val="18"/>
                <w:lang w:eastAsia="zh-CN"/>
              </w:rPr>
              <w:t>品牌保护</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品牌</w:t>
            </w:r>
            <w:r>
              <w:rPr>
                <w:rFonts w:asciiTheme="minorEastAsia" w:hAnsiTheme="minorEastAsia" w:eastAsiaTheme="minorEastAsia"/>
                <w:sz w:val="18"/>
                <w:szCs w:val="18"/>
                <w:lang w:eastAsia="zh-CN"/>
              </w:rPr>
              <w:t>传播</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建立多元化的品牌传播渠道</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媒介组合及传播模式</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风险管理能力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风险控制</w:t>
            </w:r>
          </w:p>
        </w:tc>
        <w:tc>
          <w:tcPr>
            <w:tcW w:w="4885" w:type="dxa"/>
            <w:shd w:val="clear" w:color="auto" w:fill="auto"/>
            <w:vAlign w:val="center"/>
          </w:tcPr>
          <w:p>
            <w:pPr>
              <w:widowControl/>
              <w:ind w:right="-42" w:rightChars="-19"/>
              <w:rPr>
                <w:rFonts w:asciiTheme="minorEastAsia" w:hAnsiTheme="minorEastAsia" w:eastAsiaTheme="minorEastAsia"/>
                <w:sz w:val="18"/>
                <w:szCs w:val="18"/>
                <w:highlight w:val="yellow"/>
                <w:lang w:eastAsia="zh-CN"/>
              </w:rPr>
            </w:pPr>
            <w:r>
              <w:rPr>
                <w:rFonts w:hint="eastAsia" w:asciiTheme="minorEastAsia" w:hAnsiTheme="minorEastAsia" w:eastAsiaTheme="minorEastAsia"/>
                <w:sz w:val="18"/>
                <w:szCs w:val="18"/>
                <w:lang w:eastAsia="zh-CN"/>
              </w:rPr>
              <w:t>坚持预防为主的原则，动态识别组织发展过程中隐含的潜在风险，建立</w:t>
            </w:r>
            <w:r>
              <w:rPr>
                <w:rFonts w:asciiTheme="minorEastAsia" w:hAnsiTheme="minorEastAsia" w:eastAsiaTheme="minorEastAsia"/>
                <w:sz w:val="18"/>
                <w:szCs w:val="18"/>
                <w:lang w:eastAsia="zh-CN"/>
              </w:rPr>
              <w:t>相应的</w:t>
            </w:r>
            <w:r>
              <w:rPr>
                <w:rFonts w:hint="eastAsia" w:asciiTheme="minorEastAsia" w:hAnsiTheme="minorEastAsia" w:eastAsiaTheme="minorEastAsia"/>
                <w:sz w:val="18"/>
                <w:szCs w:val="18"/>
                <w:lang w:eastAsia="zh-CN"/>
              </w:rPr>
              <w:t>预防与应急处置机制和措施。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危机管理</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积极适应全媒体时代媒介环境的变化</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建立社会组织新闻发言人制度</w:t>
            </w:r>
            <w:r>
              <w:rPr>
                <w:rFonts w:hint="eastAsia" w:asciiTheme="minorEastAsia" w:hAnsiTheme="minorEastAsia" w:eastAsiaTheme="minorEastAsia"/>
                <w:sz w:val="18"/>
                <w:szCs w:val="18"/>
                <w:lang w:eastAsia="zh-CN"/>
              </w:rPr>
              <w:t>和舆情应对制度。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340"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可持续发展</w:t>
            </w:r>
          </w:p>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能力</w:t>
            </w: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多元资源开发能力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资源发展规划</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结合组织业务活动特点和非营利属性，制定支持组织长远发展的资源规划。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资源结构</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建立多元化的资源结构和资源体系</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增强组织应对危机和风险的能力</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资源模式创新</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探索投资</w:t>
            </w:r>
            <w:r>
              <w:rPr>
                <w:rFonts w:hint="eastAsia" w:asciiTheme="minorEastAsia" w:hAnsiTheme="minorEastAsia" w:eastAsiaTheme="minorEastAsia"/>
                <w:sz w:val="18"/>
                <w:szCs w:val="18"/>
                <w:lang w:eastAsia="zh-CN"/>
              </w:rPr>
              <w:t>、社会企业等新的资源模式，增强社会</w:t>
            </w:r>
            <w:r>
              <w:rPr>
                <w:rFonts w:asciiTheme="minorEastAsia" w:hAnsiTheme="minorEastAsia" w:eastAsiaTheme="minorEastAsia"/>
                <w:sz w:val="18"/>
                <w:szCs w:val="18"/>
                <w:lang w:eastAsia="zh-CN"/>
              </w:rPr>
              <w:t>组织</w:t>
            </w:r>
            <w:r>
              <w:rPr>
                <w:rFonts w:hint="eastAsia" w:asciiTheme="minorEastAsia" w:hAnsiTheme="minorEastAsia" w:eastAsiaTheme="minorEastAsia"/>
                <w:sz w:val="18"/>
                <w:szCs w:val="18"/>
                <w:lang w:eastAsia="zh-CN"/>
              </w:rPr>
              <w:t>“自我造血”能力。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服务创新能力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创新激励</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在组织内部重视创新</w:t>
            </w:r>
            <w:r>
              <w:rPr>
                <w:rFonts w:hint="eastAsia" w:asciiTheme="minorEastAsia" w:hAnsiTheme="minorEastAsia" w:eastAsiaTheme="minorEastAsia"/>
                <w:sz w:val="18"/>
                <w:szCs w:val="18"/>
                <w:lang w:eastAsia="zh-CN"/>
              </w:rPr>
              <w:t>，建立</w:t>
            </w:r>
            <w:r>
              <w:rPr>
                <w:rFonts w:asciiTheme="minorEastAsia" w:hAnsiTheme="minorEastAsia" w:eastAsiaTheme="minorEastAsia"/>
                <w:sz w:val="18"/>
                <w:szCs w:val="18"/>
                <w:lang w:eastAsia="zh-CN"/>
              </w:rPr>
              <w:t>创新激励机制</w:t>
            </w:r>
            <w:r>
              <w:rPr>
                <w:rFonts w:hint="eastAsia" w:asciiTheme="minorEastAsia" w:hAnsiTheme="minorEastAsia" w:eastAsiaTheme="minorEastAsia"/>
                <w:sz w:val="18"/>
                <w:szCs w:val="18"/>
                <w:lang w:eastAsia="zh-CN"/>
              </w:rPr>
              <w:t>，鼓励组织</w:t>
            </w:r>
            <w:r>
              <w:rPr>
                <w:rFonts w:asciiTheme="minorEastAsia" w:hAnsiTheme="minorEastAsia" w:eastAsiaTheme="minorEastAsia"/>
                <w:sz w:val="18"/>
                <w:szCs w:val="18"/>
                <w:lang w:eastAsia="zh-CN"/>
              </w:rPr>
              <w:t>成员分享和推行新的想法</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创新研发</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积极研发或引入</w:t>
            </w:r>
            <w:r>
              <w:rPr>
                <w:rFonts w:hint="eastAsia" w:asciiTheme="minorEastAsia" w:hAnsiTheme="minorEastAsia" w:eastAsiaTheme="minorEastAsia"/>
                <w:sz w:val="18"/>
                <w:szCs w:val="18"/>
                <w:lang w:eastAsia="zh-CN"/>
              </w:rPr>
              <w:t>新的服务模式、</w:t>
            </w:r>
            <w:r>
              <w:rPr>
                <w:rFonts w:asciiTheme="minorEastAsia" w:hAnsiTheme="minorEastAsia" w:eastAsiaTheme="minorEastAsia"/>
                <w:sz w:val="18"/>
                <w:szCs w:val="18"/>
                <w:lang w:eastAsia="zh-CN"/>
              </w:rPr>
              <w:t>技术</w:t>
            </w:r>
            <w:r>
              <w:rPr>
                <w:rFonts w:hint="eastAsia" w:asciiTheme="minorEastAsia" w:hAnsiTheme="minorEastAsia" w:eastAsiaTheme="minorEastAsia"/>
                <w:sz w:val="18"/>
                <w:szCs w:val="18"/>
                <w:lang w:eastAsia="zh-CN"/>
              </w:rPr>
              <w:t>或</w:t>
            </w:r>
            <w:r>
              <w:rPr>
                <w:rFonts w:asciiTheme="minorEastAsia" w:hAnsiTheme="minorEastAsia" w:eastAsiaTheme="minorEastAsia"/>
                <w:sz w:val="18"/>
                <w:szCs w:val="18"/>
                <w:lang w:eastAsia="zh-CN"/>
              </w:rPr>
              <w:t>方法</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公信力建设能力</w:t>
            </w:r>
          </w:p>
        </w:tc>
        <w:tc>
          <w:tcPr>
            <w:tcW w:w="1560" w:type="dxa"/>
            <w:shd w:val="clear" w:color="auto" w:fill="auto"/>
            <w:vAlign w:val="center"/>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信息化建设</w:t>
            </w:r>
          </w:p>
        </w:tc>
        <w:tc>
          <w:tcPr>
            <w:tcW w:w="4885" w:type="dxa"/>
            <w:shd w:val="clear" w:color="auto" w:fill="auto"/>
            <w:vAlign w:val="center"/>
          </w:tcPr>
          <w:p>
            <w:pPr>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推动互联网、大数据等现代信息技术的应用，</w:t>
            </w:r>
            <w:r>
              <w:rPr>
                <w:rFonts w:asciiTheme="minorEastAsia" w:hAnsiTheme="minorEastAsia" w:eastAsiaTheme="minorEastAsia"/>
                <w:sz w:val="18"/>
                <w:szCs w:val="18"/>
                <w:lang w:eastAsia="zh-CN"/>
              </w:rPr>
              <w:t>提升社会组织信息化水平</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1340"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信息披露</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按照法律法规要求</w:t>
            </w:r>
            <w:r>
              <w:rPr>
                <w:rFonts w:hint="eastAsia" w:asciiTheme="minorEastAsia" w:hAnsiTheme="minorEastAsia" w:eastAsiaTheme="minorEastAsia"/>
                <w:sz w:val="18"/>
                <w:szCs w:val="18"/>
                <w:lang w:eastAsia="zh-CN"/>
              </w:rPr>
              <w:t>，社会组织真实、</w:t>
            </w:r>
            <w:r>
              <w:rPr>
                <w:rFonts w:asciiTheme="minorEastAsia" w:hAnsiTheme="minorEastAsia" w:eastAsiaTheme="minorEastAsia"/>
                <w:sz w:val="18"/>
                <w:szCs w:val="18"/>
                <w:lang w:eastAsia="zh-CN"/>
              </w:rPr>
              <w:t>准确</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完整</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及时地披露信息</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340" w:type="dxa"/>
            <w:vMerge w:val="restart"/>
            <w:shd w:val="clear" w:color="auto" w:fill="auto"/>
            <w:vAlign w:val="center"/>
          </w:tcPr>
          <w:p>
            <w:pPr>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社会互动与合作能力</w:t>
            </w:r>
          </w:p>
        </w:tc>
        <w:tc>
          <w:tcPr>
            <w:tcW w:w="1701" w:type="dxa"/>
            <w:vMerge w:val="restart"/>
            <w:shd w:val="clear" w:color="auto" w:fill="auto"/>
            <w:vAlign w:val="center"/>
          </w:tcPr>
          <w:p>
            <w:pPr>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公众参与促进能力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公众</w:t>
            </w:r>
            <w:r>
              <w:rPr>
                <w:rFonts w:hint="eastAsia" w:asciiTheme="minorEastAsia" w:hAnsiTheme="minorEastAsia" w:eastAsiaTheme="minorEastAsia"/>
                <w:sz w:val="18"/>
                <w:szCs w:val="18"/>
                <w:lang w:eastAsia="zh-CN"/>
              </w:rPr>
              <w:t>认知</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建立公众了解和参与社会组织</w:t>
            </w:r>
            <w:r>
              <w:rPr>
                <w:rFonts w:hint="eastAsia" w:asciiTheme="minorEastAsia" w:hAnsiTheme="minorEastAsia" w:eastAsiaTheme="minorEastAsia"/>
                <w:sz w:val="18"/>
                <w:szCs w:val="18"/>
                <w:lang w:eastAsia="zh-CN"/>
              </w:rPr>
              <w:t>项目及活动的便捷渠道，增进公众对社会组织的认知和信任。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340" w:type="dxa"/>
            <w:vMerge w:val="continue"/>
            <w:shd w:val="clear" w:color="auto" w:fill="auto"/>
            <w:vAlign w:val="center"/>
          </w:tcPr>
          <w:p>
            <w:pPr>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社会倡导</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结合组织具体工作领域，积极促进社会各界的关注，获得各方的支持，为工作的开展创造良好社会环境。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340" w:type="dxa"/>
            <w:vMerge w:val="continue"/>
            <w:shd w:val="clear" w:color="auto" w:fill="auto"/>
            <w:vAlign w:val="center"/>
          </w:tcPr>
          <w:p>
            <w:pPr>
              <w:jc w:val="center"/>
              <w:rPr>
                <w:rFonts w:asciiTheme="minorEastAsia" w:hAnsiTheme="minorEastAsia" w:eastAsiaTheme="minorEastAsia"/>
                <w:sz w:val="18"/>
                <w:szCs w:val="18"/>
                <w:lang w:eastAsia="zh-CN"/>
              </w:rPr>
            </w:pPr>
          </w:p>
        </w:tc>
        <w:tc>
          <w:tcPr>
            <w:tcW w:w="1701"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跨界合作能力</w:t>
            </w: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政社协同</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与政府政策保持协同</w:t>
            </w:r>
            <w:r>
              <w:rPr>
                <w:rFonts w:hint="eastAsia" w:asciiTheme="minorEastAsia" w:hAnsiTheme="minorEastAsia" w:eastAsiaTheme="minorEastAsia"/>
                <w:sz w:val="18"/>
                <w:szCs w:val="18"/>
                <w:lang w:eastAsia="zh-CN"/>
              </w:rPr>
              <w:t>，加强与政府部门的协同配合，</w:t>
            </w:r>
            <w:r>
              <w:rPr>
                <w:rFonts w:asciiTheme="minorEastAsia" w:hAnsiTheme="minorEastAsia" w:eastAsiaTheme="minorEastAsia"/>
                <w:sz w:val="18"/>
                <w:szCs w:val="18"/>
                <w:lang w:eastAsia="zh-CN"/>
              </w:rPr>
              <w:t>形成</w:t>
            </w:r>
            <w:r>
              <w:rPr>
                <w:rFonts w:hint="eastAsia" w:asciiTheme="minorEastAsia" w:hAnsiTheme="minorEastAsia" w:eastAsiaTheme="minorEastAsia"/>
                <w:sz w:val="18"/>
                <w:szCs w:val="18"/>
                <w:lang w:eastAsia="zh-CN"/>
              </w:rPr>
              <w:t>发展</w:t>
            </w:r>
            <w:r>
              <w:rPr>
                <w:rFonts w:asciiTheme="minorEastAsia" w:hAnsiTheme="minorEastAsia" w:eastAsiaTheme="minorEastAsia"/>
                <w:sz w:val="18"/>
                <w:szCs w:val="18"/>
                <w:lang w:eastAsia="zh-CN"/>
              </w:rPr>
              <w:t>合力</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40" w:type="dxa"/>
            <w:vMerge w:val="continue"/>
            <w:shd w:val="clear" w:color="auto" w:fill="auto"/>
            <w:vAlign w:val="center"/>
          </w:tcPr>
          <w:p>
            <w:pPr>
              <w:jc w:val="center"/>
              <w:rPr>
                <w:rFonts w:asciiTheme="minorEastAsia" w:hAnsiTheme="minorEastAsia" w:eastAsiaTheme="minorEastAsia"/>
                <w:sz w:val="18"/>
                <w:szCs w:val="18"/>
                <w:lang w:eastAsia="zh-CN"/>
              </w:rPr>
            </w:pPr>
          </w:p>
        </w:tc>
        <w:tc>
          <w:tcPr>
            <w:tcW w:w="1701"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1560" w:type="dxa"/>
            <w:shd w:val="clear" w:color="auto" w:fill="auto"/>
            <w:vAlign w:val="center"/>
          </w:tcPr>
          <w:p>
            <w:pPr>
              <w:widowControl/>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跨界合作</w:t>
            </w:r>
          </w:p>
        </w:tc>
        <w:tc>
          <w:tcPr>
            <w:tcW w:w="4885" w:type="dxa"/>
            <w:shd w:val="clear" w:color="auto" w:fill="auto"/>
            <w:vAlign w:val="center"/>
          </w:tcPr>
          <w:p>
            <w:pPr>
              <w:widowControl/>
              <w:ind w:right="-42" w:rightChars="-1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根据组织发展需要，与企业、媒体、科研院所、社区、其他社会组织等之间建立伙伴关系。</w:t>
            </w:r>
          </w:p>
        </w:tc>
      </w:tr>
    </w:tbl>
    <w:p>
      <w:pPr>
        <w:pStyle w:val="9"/>
        <w:ind w:left="0" w:firstLine="422" w:firstLineChars="200"/>
        <w:jc w:val="both"/>
        <w:rPr>
          <w:b/>
          <w:lang w:eastAsia="zh-CN"/>
        </w:rPr>
        <w:sectPr>
          <w:headerReference r:id="rId12" w:type="default"/>
          <w:footerReference r:id="rId14" w:type="default"/>
          <w:headerReference r:id="rId13" w:type="even"/>
          <w:footerReference r:id="rId15" w:type="even"/>
          <w:pgSz w:w="11910" w:h="16840"/>
          <w:pgMar w:top="1417" w:right="1134" w:bottom="1134" w:left="1418" w:header="1418" w:footer="1134" w:gutter="0"/>
          <w:pgNumType w:start="1"/>
          <w:cols w:space="720" w:num="1"/>
          <w:docGrid w:linePitch="299" w:charSpace="0"/>
        </w:sectPr>
      </w:pPr>
    </w:p>
    <w:p>
      <w:pPr>
        <w:pStyle w:val="67"/>
        <w:tabs>
          <w:tab w:val="left" w:pos="0"/>
          <w:tab w:val="clear" w:pos="6405"/>
        </w:tabs>
        <w:spacing w:before="120"/>
        <w:ind w:left="0"/>
      </w:pPr>
      <w:r>
        <w:br w:type="textWrapping"/>
      </w:r>
      <w:r>
        <w:rPr>
          <w:rFonts w:hint="eastAsia"/>
        </w:rPr>
        <w:t>（规范性）</w:t>
      </w:r>
      <w:r>
        <w:br w:type="textWrapping"/>
      </w:r>
      <w:r>
        <w:rPr>
          <w:rFonts w:hint="eastAsia"/>
        </w:rPr>
        <w:t>社会组织专有能力建设内容</w:t>
      </w:r>
    </w:p>
    <w:p>
      <w:pPr>
        <w:pStyle w:val="9"/>
        <w:ind w:firstLine="420" w:firstLineChars="200"/>
        <w:rPr>
          <w:lang w:eastAsia="zh-CN"/>
        </w:rPr>
      </w:pPr>
      <w:r>
        <w:rPr>
          <w:rFonts w:hint="eastAsia"/>
          <w:lang w:eastAsia="zh-CN"/>
        </w:rPr>
        <w:t>社会组织专有能力按照公益慈善类社会组织、志愿服务组织、社会工作服务机构、行业协会商会等十二类社会组织的类别分别予以介绍。专有能力建设内容如表B.1所示。</w:t>
      </w:r>
    </w:p>
    <w:p>
      <w:pPr>
        <w:pStyle w:val="9"/>
        <w:spacing w:before="120" w:beforeLines="50" w:after="120" w:afterLines="50"/>
        <w:ind w:left="0"/>
        <w:jc w:val="center"/>
        <w:rPr>
          <w:rFonts w:ascii="黑体" w:hAnsi="黑体" w:eastAsia="黑体"/>
          <w:lang w:eastAsia="zh-CN"/>
        </w:rPr>
      </w:pPr>
      <w:r>
        <w:rPr>
          <w:rFonts w:ascii="黑体" w:hAnsi="黑体" w:eastAsia="黑体"/>
          <w:lang w:eastAsia="zh-CN"/>
        </w:rPr>
        <w:t>表</w:t>
      </w:r>
      <w:r>
        <w:rPr>
          <w:rFonts w:hint="eastAsia" w:ascii="黑体" w:hAnsi="黑体" w:eastAsia="黑体"/>
          <w:lang w:eastAsia="zh-CN"/>
        </w:rPr>
        <w:t>B</w:t>
      </w:r>
      <w:r>
        <w:rPr>
          <w:rFonts w:ascii="黑体" w:hAnsi="黑体" w:eastAsia="黑体"/>
          <w:lang w:eastAsia="zh-CN"/>
        </w:rPr>
        <w:t>.</w:t>
      </w:r>
      <w:r>
        <w:rPr>
          <w:rFonts w:hint="eastAsia" w:ascii="黑体" w:hAnsi="黑体" w:eastAsia="黑体"/>
          <w:lang w:eastAsia="zh-CN"/>
        </w:rPr>
        <w:t>1社会组织专有</w:t>
      </w:r>
      <w:r>
        <w:rPr>
          <w:rFonts w:ascii="黑体" w:hAnsi="黑体" w:eastAsia="黑体"/>
          <w:lang w:eastAsia="zh-CN"/>
        </w:rPr>
        <w:t>能力</w:t>
      </w:r>
      <w:r>
        <w:rPr>
          <w:rFonts w:hint="eastAsia" w:ascii="黑体" w:hAnsi="黑体" w:eastAsia="黑体"/>
          <w:lang w:eastAsia="zh-CN"/>
        </w:rPr>
        <w:t>建设内容</w:t>
      </w:r>
    </w:p>
    <w:tbl>
      <w:tblPr>
        <w:tblStyle w:val="24"/>
        <w:tblW w:w="931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779"/>
        <w:gridCol w:w="2126"/>
        <w:gridCol w:w="5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blHeader/>
          <w:jc w:val="center"/>
        </w:trPr>
        <w:tc>
          <w:tcPr>
            <w:tcW w:w="1536" w:type="dxa"/>
            <w:gridSpan w:val="2"/>
            <w:tcBorders>
              <w:top w:val="single" w:color="auto" w:sz="12" w:space="0"/>
              <w:bottom w:val="single" w:color="auto" w:sz="12" w:space="0"/>
            </w:tcBorders>
            <w:shd w:val="clear" w:color="auto" w:fill="auto"/>
            <w:vAlign w:val="center"/>
          </w:tcPr>
          <w:p>
            <w:pPr>
              <w:pStyle w:val="9"/>
              <w:ind w:lef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社会组织类型</w:t>
            </w:r>
          </w:p>
        </w:tc>
        <w:tc>
          <w:tcPr>
            <w:tcW w:w="2126" w:type="dxa"/>
            <w:tcBorders>
              <w:top w:val="single" w:color="auto" w:sz="12" w:space="0"/>
              <w:bottom w:val="single" w:color="auto" w:sz="12" w:space="0"/>
            </w:tcBorders>
            <w:shd w:val="clear" w:color="auto" w:fill="auto"/>
            <w:vAlign w:val="center"/>
          </w:tcPr>
          <w:p>
            <w:pPr>
              <w:pStyle w:val="9"/>
              <w:ind w:left="0" w:right="-108" w:rightChars="-49"/>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专有能力</w:t>
            </w:r>
          </w:p>
        </w:tc>
        <w:tc>
          <w:tcPr>
            <w:tcW w:w="5648" w:type="dxa"/>
            <w:tcBorders>
              <w:top w:val="single" w:color="auto" w:sz="12" w:space="0"/>
              <w:bottom w:val="single" w:color="auto" w:sz="12" w:space="0"/>
            </w:tcBorders>
            <w:shd w:val="clear" w:color="auto" w:fill="auto"/>
            <w:vAlign w:val="center"/>
          </w:tcPr>
          <w:p>
            <w:pPr>
              <w:pStyle w:val="9"/>
              <w:ind w:left="0" w:right="-130" w:rightChars="-59"/>
              <w:jc w:val="center"/>
              <w:rPr>
                <w:rFonts w:asciiTheme="minorEastAsia" w:hAnsiTheme="minorEastAsia" w:eastAsiaTheme="minorEastAsia"/>
                <w:b/>
                <w:sz w:val="18"/>
                <w:szCs w:val="18"/>
                <w:lang w:eastAsia="zh-CN"/>
              </w:rPr>
            </w:pPr>
            <w:r>
              <w:rPr>
                <w:rFonts w:hint="eastAsia" w:asciiTheme="minorEastAsia" w:hAnsiTheme="minorEastAsia" w:eastAsiaTheme="minorEastAsia"/>
                <w:b/>
                <w:sz w:val="18"/>
                <w:szCs w:val="18"/>
                <w:lang w:eastAsia="zh-CN"/>
              </w:rPr>
              <w:t>内容</w:t>
            </w:r>
            <w:r>
              <w:rPr>
                <w:rFonts w:asciiTheme="minorEastAsia" w:hAnsiTheme="minorEastAsia" w:eastAsiaTheme="minorEastAsia"/>
                <w:b/>
                <w:sz w:val="18"/>
                <w:szCs w:val="18"/>
                <w:lang w:eastAsia="zh-CN"/>
              </w:rPr>
              <w:t>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757"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1.公益慈善类社会组织</w:t>
            </w:r>
          </w:p>
        </w:tc>
        <w:tc>
          <w:tcPr>
            <w:tcW w:w="779"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具有公开募捐资格</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公开</w:t>
            </w:r>
            <w:r>
              <w:rPr>
                <w:rFonts w:asciiTheme="minorEastAsia" w:hAnsiTheme="minorEastAsia" w:eastAsiaTheme="minorEastAsia"/>
                <w:sz w:val="18"/>
                <w:szCs w:val="18"/>
                <w:lang w:eastAsia="zh-CN"/>
              </w:rPr>
              <w:t>募捐</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依据《中华人民共和国慈善法》等法律法规，</w:t>
            </w:r>
            <w:r>
              <w:rPr>
                <w:rFonts w:asciiTheme="minorEastAsia" w:hAnsiTheme="minorEastAsia" w:eastAsiaTheme="minorEastAsia"/>
                <w:sz w:val="18"/>
                <w:szCs w:val="18"/>
                <w:lang w:eastAsia="zh-CN"/>
              </w:rPr>
              <w:t>开展面向社会公众的募捐活动</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757"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779"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捐赠人维护管理</w:t>
            </w:r>
          </w:p>
        </w:tc>
        <w:tc>
          <w:tcPr>
            <w:tcW w:w="5648" w:type="dxa"/>
            <w:shd w:val="clear" w:color="auto" w:fill="auto"/>
            <w:vAlign w:val="center"/>
          </w:tcPr>
          <w:p>
            <w:pPr>
              <w:pStyle w:val="2"/>
              <w:ind w:left="0" w:leftChars="0" w:firstLine="0"/>
              <w:jc w:val="both"/>
              <w:rPr>
                <w:lang w:eastAsia="zh-CN"/>
              </w:rPr>
            </w:pPr>
            <w:r>
              <w:rPr>
                <w:rFonts w:hint="eastAsia" w:asciiTheme="minorEastAsia" w:hAnsiTheme="minorEastAsia" w:eastAsiaTheme="minorEastAsia"/>
                <w:sz w:val="18"/>
                <w:szCs w:val="18"/>
                <w:lang w:eastAsia="zh-CN"/>
              </w:rPr>
              <w:t>建立形成包含捐赠人需求分析、捐赠人数据管理、捐赠人关系维护、捐赠档案管理等内容的捐赠人维护管理体系，</w:t>
            </w:r>
            <w:r>
              <w:rPr>
                <w:rFonts w:asciiTheme="minorEastAsia" w:hAnsiTheme="minorEastAsia" w:eastAsiaTheme="minorEastAsia"/>
                <w:sz w:val="18"/>
                <w:szCs w:val="18"/>
                <w:lang w:eastAsia="zh-CN"/>
              </w:rPr>
              <w:t>提高</w:t>
            </w:r>
            <w:r>
              <w:rPr>
                <w:rFonts w:hint="eastAsia" w:asciiTheme="minorEastAsia" w:hAnsiTheme="minorEastAsia" w:eastAsiaTheme="minorEastAsia"/>
                <w:sz w:val="18"/>
                <w:szCs w:val="18"/>
                <w:lang w:eastAsia="zh-CN"/>
              </w:rPr>
              <w:t>捐赠</w:t>
            </w:r>
            <w:r>
              <w:rPr>
                <w:rFonts w:asciiTheme="minorEastAsia" w:hAnsiTheme="minorEastAsia" w:eastAsiaTheme="minorEastAsia"/>
                <w:sz w:val="18"/>
                <w:szCs w:val="18"/>
                <w:lang w:eastAsia="zh-CN"/>
              </w:rPr>
              <w:t>行为的持续性</w:t>
            </w:r>
            <w:r>
              <w:rPr>
                <w:rFonts w:hint="eastAsia" w:asciiTheme="minorEastAsia" w:hAnsiTheme="minorEastAsia" w:eastAsiaTheme="minorEastAsia"/>
                <w:sz w:val="18"/>
                <w:szCs w:val="18"/>
                <w:lang w:eastAsia="zh-CN"/>
              </w:rPr>
              <w:t>和资源来源的相对稳定性。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757"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779"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重大突发公共事件参与</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发挥慈善力量优势，</w:t>
            </w:r>
            <w:r>
              <w:rPr>
                <w:rFonts w:asciiTheme="minorEastAsia" w:hAnsiTheme="minorEastAsia" w:eastAsiaTheme="minorEastAsia"/>
                <w:sz w:val="18"/>
                <w:szCs w:val="18"/>
                <w:lang w:eastAsia="zh-CN"/>
              </w:rPr>
              <w:t>参与重大突发公共事件应急响应</w:t>
            </w:r>
            <w:r>
              <w:rPr>
                <w:rFonts w:hint="eastAsia" w:asciiTheme="minorEastAsia" w:hAnsiTheme="minorEastAsia" w:eastAsiaTheme="minorEastAsia"/>
                <w:sz w:val="18"/>
                <w:szCs w:val="18"/>
                <w:lang w:eastAsia="zh-CN"/>
              </w:rPr>
              <w:t>，并根据实际需要，面向社会公众等开展募捐活动，</w:t>
            </w:r>
            <w:r>
              <w:rPr>
                <w:rFonts w:asciiTheme="minorEastAsia" w:hAnsiTheme="minorEastAsia" w:eastAsiaTheme="minorEastAsia"/>
                <w:sz w:val="18"/>
                <w:szCs w:val="18"/>
                <w:lang w:eastAsia="zh-CN"/>
              </w:rPr>
              <w:t>促进慈善资源供需快速精准对接和合理有效配置</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57"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779" w:type="dxa"/>
            <w:vMerge w:val="restart"/>
            <w:shd w:val="clear" w:color="auto" w:fill="auto"/>
            <w:vAlign w:val="center"/>
          </w:tcPr>
          <w:p>
            <w:pPr>
              <w:widowControl/>
              <w:jc w:val="cente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不</w:t>
            </w:r>
            <w:r>
              <w:rPr>
                <w:rFonts w:hint="eastAsia" w:asciiTheme="minorEastAsia" w:hAnsiTheme="minorEastAsia" w:eastAsiaTheme="minorEastAsia"/>
                <w:sz w:val="18"/>
                <w:szCs w:val="18"/>
                <w:lang w:eastAsia="zh-CN"/>
              </w:rPr>
              <w:t>具有</w:t>
            </w:r>
            <w:r>
              <w:rPr>
                <w:rFonts w:asciiTheme="minorEastAsia" w:hAnsiTheme="minorEastAsia" w:eastAsiaTheme="minorEastAsia"/>
                <w:sz w:val="18"/>
                <w:szCs w:val="18"/>
                <w:lang w:eastAsia="zh-CN"/>
              </w:rPr>
              <w:t>公开募捐资格</w:t>
            </w:r>
          </w:p>
        </w:tc>
        <w:tc>
          <w:tcPr>
            <w:tcW w:w="2126" w:type="dxa"/>
            <w:shd w:val="clear" w:color="auto" w:fill="auto"/>
            <w:vAlign w:val="center"/>
          </w:tcPr>
          <w:p>
            <w:pPr>
              <w:widowControl/>
              <w:ind w:right="-108" w:rightChars="-49"/>
              <w:rPr>
                <w:rFonts w:asciiTheme="minorEastAsia" w:hAnsiTheme="minorEastAsia" w:eastAsiaTheme="minorEastAsia"/>
                <w:sz w:val="18"/>
                <w:szCs w:val="18"/>
                <w:highlight w:val="yellow"/>
                <w:lang w:eastAsia="zh-CN"/>
              </w:rPr>
            </w:pPr>
            <w:r>
              <w:rPr>
                <w:rFonts w:hint="eastAsia" w:asciiTheme="minorEastAsia" w:hAnsiTheme="minorEastAsia" w:eastAsiaTheme="minorEastAsia"/>
                <w:sz w:val="18"/>
                <w:szCs w:val="18"/>
                <w:lang w:eastAsia="zh-CN"/>
              </w:rPr>
              <w:t>定向募捐</w:t>
            </w:r>
          </w:p>
        </w:tc>
        <w:tc>
          <w:tcPr>
            <w:tcW w:w="5648" w:type="dxa"/>
            <w:shd w:val="clear" w:color="auto" w:fill="auto"/>
            <w:vAlign w:val="center"/>
          </w:tcPr>
          <w:p>
            <w:pPr>
              <w:widowControl/>
              <w:ind w:right="-130" w:rightChars="-59"/>
              <w:rPr>
                <w:rFonts w:asciiTheme="minorEastAsia" w:hAnsiTheme="minorEastAsia" w:eastAsiaTheme="minorEastAsia"/>
                <w:sz w:val="18"/>
                <w:szCs w:val="18"/>
                <w:highlight w:val="yellow"/>
                <w:lang w:eastAsia="zh-CN"/>
              </w:rPr>
            </w:pPr>
            <w:r>
              <w:rPr>
                <w:rFonts w:asciiTheme="minorEastAsia" w:hAnsiTheme="minorEastAsia" w:eastAsiaTheme="minorEastAsia"/>
                <w:sz w:val="18"/>
                <w:szCs w:val="18"/>
                <w:lang w:eastAsia="zh-CN"/>
              </w:rPr>
              <w:t>依法开展面向</w:t>
            </w:r>
            <w:r>
              <w:rPr>
                <w:rFonts w:hint="eastAsia" w:asciiTheme="minorEastAsia" w:hAnsiTheme="minorEastAsia" w:eastAsiaTheme="minorEastAsia"/>
                <w:sz w:val="18"/>
                <w:szCs w:val="18"/>
                <w:lang w:eastAsia="zh-CN"/>
              </w:rPr>
              <w:t>特定</w:t>
            </w:r>
            <w:r>
              <w:rPr>
                <w:rFonts w:asciiTheme="minorEastAsia" w:hAnsiTheme="minorEastAsia" w:eastAsiaTheme="minorEastAsia"/>
                <w:sz w:val="18"/>
                <w:szCs w:val="18"/>
                <w:lang w:eastAsia="zh-CN"/>
              </w:rPr>
              <w:t>对象的募捐活动</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757"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779"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财产保值增值投资</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遵循合法、安全、有效的原则</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依法</w:t>
            </w:r>
            <w:r>
              <w:rPr>
                <w:rFonts w:hint="eastAsia" w:asciiTheme="minorEastAsia" w:hAnsiTheme="minorEastAsia" w:eastAsiaTheme="minorEastAsia"/>
                <w:sz w:val="18"/>
                <w:szCs w:val="18"/>
                <w:lang w:eastAsia="zh-CN"/>
              </w:rPr>
              <w:t>开展投资活动。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757"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779" w:type="dxa"/>
            <w:vMerge w:val="continue"/>
            <w:shd w:val="clear" w:color="auto" w:fill="auto"/>
            <w:vAlign w:val="center"/>
          </w:tcPr>
          <w:p>
            <w:pPr>
              <w:widowControl/>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慈善信托运作</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bCs/>
                <w:sz w:val="18"/>
                <w:szCs w:val="18"/>
                <w:lang w:eastAsia="zh-CN"/>
              </w:rPr>
              <w:t>遵循合法、自愿、诚信的原则</w:t>
            </w:r>
            <w:r>
              <w:rPr>
                <w:rFonts w:hint="eastAsia" w:asciiTheme="minorEastAsia" w:hAnsiTheme="minorEastAsia" w:eastAsiaTheme="minorEastAsia"/>
                <w:bCs/>
                <w:sz w:val="18"/>
                <w:szCs w:val="18"/>
                <w:lang w:eastAsia="zh-CN"/>
              </w:rPr>
              <w:t>，作为委托人设立慈善信托或担任慈善信托受托人，有效管理</w:t>
            </w:r>
            <w:r>
              <w:rPr>
                <w:rFonts w:asciiTheme="minorEastAsia" w:hAnsiTheme="minorEastAsia" w:eastAsiaTheme="minorEastAsia"/>
                <w:bCs/>
                <w:sz w:val="18"/>
                <w:szCs w:val="18"/>
                <w:lang w:eastAsia="zh-CN"/>
              </w:rPr>
              <w:t>信托财产及其收益</w:t>
            </w:r>
            <w:r>
              <w:rPr>
                <w:rFonts w:hint="eastAsia" w:asciiTheme="minorEastAsia" w:hAnsiTheme="minorEastAsia" w:eastAsiaTheme="minorEastAsia"/>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536" w:type="dxa"/>
            <w:gridSpan w:val="2"/>
            <w:vMerge w:val="restart"/>
            <w:shd w:val="clear" w:color="auto" w:fill="auto"/>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2.</w:t>
            </w:r>
            <w:r>
              <w:rPr>
                <w:rFonts w:hint="eastAsia" w:asciiTheme="minorEastAsia" w:hAnsiTheme="minorEastAsia" w:eastAsiaTheme="minorEastAsia"/>
                <w:sz w:val="18"/>
                <w:szCs w:val="18"/>
              </w:rPr>
              <w:t>志愿服务组织</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志愿者服务管理</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bCs/>
                <w:sz w:val="18"/>
                <w:szCs w:val="18"/>
                <w:lang w:eastAsia="zh-CN"/>
              </w:rPr>
              <w:t>建立包含志愿者招募、志愿者培训、志愿服务协议签订、志愿者激励表彰、</w:t>
            </w:r>
            <w:r>
              <w:rPr>
                <w:rFonts w:asciiTheme="minorEastAsia" w:hAnsiTheme="minorEastAsia" w:eastAsiaTheme="minorEastAsia"/>
                <w:bCs/>
                <w:sz w:val="18"/>
                <w:szCs w:val="18"/>
                <w:lang w:eastAsia="zh-CN"/>
              </w:rPr>
              <w:t>志愿服务记录证明出具等内容的志愿者服务管理体系</w:t>
            </w:r>
            <w:r>
              <w:rPr>
                <w:rFonts w:hint="eastAsia" w:asciiTheme="minorEastAsia" w:hAnsiTheme="minorEastAsia" w:eastAsiaTheme="minorEastAsia"/>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志愿服务活动组织实施</w:t>
            </w:r>
          </w:p>
        </w:tc>
        <w:tc>
          <w:tcPr>
            <w:tcW w:w="5648" w:type="dxa"/>
            <w:shd w:val="clear" w:color="auto" w:fill="auto"/>
            <w:vAlign w:val="center"/>
          </w:tcPr>
          <w:p>
            <w:pPr>
              <w:autoSpaceDE w:val="0"/>
              <w:autoSpaceDN w:val="0"/>
              <w:adjustRightInd w:val="0"/>
              <w:rPr>
                <w:rFonts w:asciiTheme="minorEastAsia" w:hAnsiTheme="minorEastAsia" w:eastAsiaTheme="minorEastAsia"/>
                <w:sz w:val="18"/>
                <w:szCs w:val="18"/>
                <w:lang w:eastAsia="zh-CN"/>
              </w:rPr>
            </w:pPr>
            <w:r>
              <w:rPr>
                <w:rFonts w:asciiTheme="minorEastAsia" w:hAnsiTheme="minorEastAsia" w:eastAsiaTheme="minorEastAsia"/>
                <w:bCs/>
                <w:sz w:val="18"/>
                <w:szCs w:val="18"/>
                <w:lang w:eastAsia="zh-CN"/>
              </w:rPr>
              <w:t>根据社会实际需求</w:t>
            </w:r>
            <w:r>
              <w:rPr>
                <w:rFonts w:hint="eastAsia" w:asciiTheme="minorEastAsia" w:hAnsiTheme="minorEastAsia" w:eastAsiaTheme="minorEastAsia"/>
                <w:bCs/>
                <w:sz w:val="18"/>
                <w:szCs w:val="18"/>
                <w:lang w:eastAsia="zh-CN"/>
              </w:rPr>
              <w:t>，</w:t>
            </w:r>
            <w:r>
              <w:rPr>
                <w:rFonts w:asciiTheme="minorEastAsia" w:hAnsiTheme="minorEastAsia" w:eastAsiaTheme="minorEastAsia"/>
                <w:bCs/>
                <w:sz w:val="18"/>
                <w:szCs w:val="18"/>
                <w:lang w:eastAsia="zh-CN"/>
              </w:rPr>
              <w:t>科学设计志愿服务活动</w:t>
            </w:r>
            <w:r>
              <w:rPr>
                <w:rFonts w:hint="eastAsia" w:asciiTheme="minorEastAsia" w:hAnsiTheme="minorEastAsia" w:eastAsiaTheme="minorEastAsia"/>
                <w:bCs/>
                <w:sz w:val="18"/>
                <w:szCs w:val="18"/>
                <w:lang w:eastAsia="zh-CN"/>
              </w:rPr>
              <w:t>；有效筹集、使用和管理</w:t>
            </w:r>
            <w:r>
              <w:rPr>
                <w:rFonts w:asciiTheme="minorEastAsia" w:hAnsiTheme="minorEastAsia" w:eastAsiaTheme="minorEastAsia"/>
                <w:bCs/>
                <w:sz w:val="18"/>
                <w:szCs w:val="18"/>
                <w:lang w:eastAsia="zh-CN"/>
              </w:rPr>
              <w:t>志愿服务经费</w:t>
            </w:r>
            <w:r>
              <w:rPr>
                <w:rFonts w:hint="eastAsia" w:asciiTheme="minorEastAsia" w:hAnsiTheme="minorEastAsia" w:eastAsiaTheme="minorEastAsia"/>
                <w:bCs/>
                <w:sz w:val="18"/>
                <w:szCs w:val="18"/>
                <w:lang w:eastAsia="zh-CN"/>
              </w:rPr>
              <w:t>；</w:t>
            </w:r>
            <w:r>
              <w:rPr>
                <w:rFonts w:asciiTheme="minorEastAsia" w:hAnsiTheme="minorEastAsia" w:eastAsiaTheme="minorEastAsia"/>
                <w:bCs/>
                <w:sz w:val="18"/>
                <w:szCs w:val="18"/>
                <w:lang w:eastAsia="zh-CN"/>
              </w:rPr>
              <w:t>开展志愿服务成效评估等</w:t>
            </w:r>
            <w:r>
              <w:rPr>
                <w:rFonts w:hint="eastAsia" w:asciiTheme="minorEastAsia" w:hAnsiTheme="minorEastAsia" w:eastAsiaTheme="minorEastAsia"/>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志愿者权益保障</w:t>
            </w:r>
          </w:p>
        </w:tc>
        <w:tc>
          <w:tcPr>
            <w:tcW w:w="5648" w:type="dxa"/>
            <w:shd w:val="clear" w:color="auto" w:fill="auto"/>
            <w:vAlign w:val="center"/>
          </w:tcPr>
          <w:p>
            <w:pPr>
              <w:autoSpaceDE w:val="0"/>
              <w:autoSpaceDN w:val="0"/>
              <w:adjustRightInd w:val="0"/>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为志愿者参与志愿服务活动提供必要的工作、安全、卫生、医疗等条件，解决志愿者在志愿服务过程中遇到的困难，维护志愿者的合法权益</w:t>
            </w:r>
            <w:r>
              <w:rPr>
                <w:rFonts w:hint="eastAsia" w:asciiTheme="minorEastAsia" w:hAnsiTheme="minorEastAsia" w:eastAsiaTheme="minorEastAsia"/>
                <w:sz w:val="18"/>
                <w:szCs w:val="18"/>
                <w:lang w:eastAsia="zh-CN"/>
              </w:rPr>
              <w:t>；建立志愿者救助制度，帮扶</w:t>
            </w:r>
            <w:r>
              <w:rPr>
                <w:rFonts w:asciiTheme="minorEastAsia" w:hAnsiTheme="minorEastAsia" w:eastAsiaTheme="minorEastAsia"/>
                <w:sz w:val="18"/>
                <w:szCs w:val="18"/>
                <w:lang w:eastAsia="zh-CN"/>
              </w:rPr>
              <w:t>因遭遇突发事件、意外伤害、重大疾病等原因导致生活困难的志愿者</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重大突发公共事件参与</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发挥志愿服务组织优势</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接受有关人民政府设立的应急指挥机构的统一指挥、协调</w:t>
            </w:r>
            <w:r>
              <w:rPr>
                <w:rFonts w:hint="eastAsia" w:asciiTheme="minorEastAsia" w:hAnsiTheme="minorEastAsia" w:eastAsiaTheme="minorEastAsia"/>
                <w:sz w:val="18"/>
                <w:szCs w:val="18"/>
                <w:lang w:eastAsia="zh-CN"/>
              </w:rPr>
              <w:t>，有序引导和组织动员志愿者</w:t>
            </w:r>
            <w:r>
              <w:rPr>
                <w:rFonts w:asciiTheme="minorEastAsia" w:hAnsiTheme="minorEastAsia" w:eastAsiaTheme="minorEastAsia"/>
                <w:sz w:val="18"/>
                <w:szCs w:val="18"/>
                <w:lang w:eastAsia="zh-CN"/>
              </w:rPr>
              <w:t>参与重大突发公共事件应急</w:t>
            </w:r>
            <w:r>
              <w:rPr>
                <w:rFonts w:hint="eastAsia" w:asciiTheme="minorEastAsia" w:hAnsiTheme="minorEastAsia" w:eastAsiaTheme="minorEastAsia"/>
                <w:sz w:val="18"/>
                <w:szCs w:val="18"/>
                <w:lang w:eastAsia="zh-CN"/>
              </w:rPr>
              <w:t>响应，</w:t>
            </w:r>
            <w:r>
              <w:rPr>
                <w:rFonts w:asciiTheme="minorEastAsia" w:hAnsiTheme="minorEastAsia" w:eastAsiaTheme="minorEastAsia"/>
                <w:sz w:val="18"/>
                <w:szCs w:val="18"/>
                <w:lang w:eastAsia="zh-CN"/>
              </w:rPr>
              <w:t>提供多样化的志愿服务</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536" w:type="dxa"/>
            <w:gridSpan w:val="2"/>
            <w:vMerge w:val="restart"/>
            <w:shd w:val="clear" w:color="auto" w:fill="auto"/>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3</w:t>
            </w:r>
            <w:r>
              <w:rPr>
                <w:rFonts w:hint="eastAsia" w:asciiTheme="minorEastAsia" w:hAnsiTheme="minorEastAsia" w:eastAsiaTheme="minorEastAsia"/>
                <w:sz w:val="18"/>
                <w:szCs w:val="18"/>
              </w:rPr>
              <w:t>.社会工作服务机构</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个案</w:t>
            </w:r>
            <w:r>
              <w:rPr>
                <w:rFonts w:hint="eastAsia" w:asciiTheme="minorEastAsia" w:hAnsiTheme="minorEastAsia" w:eastAsiaTheme="minorEastAsia"/>
                <w:sz w:val="18"/>
                <w:szCs w:val="18"/>
                <w:lang w:eastAsia="zh-CN"/>
              </w:rPr>
              <w:t>工作</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以有需要的个人或家庭为服务对象，运用个别化的工作方式，增强其解决困难和适应社会的能力，促进其与环境和谐发展。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小组工作</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以具有共同需求或相近问题的群体为服务对象，通过小组活动过程及组员之间的互动和经验分享，帮助小组组员改善其社会功能。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社区社会工作</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以</w:t>
            </w:r>
            <w:r>
              <w:rPr>
                <w:rFonts w:hint="eastAsia" w:asciiTheme="minorEastAsia" w:hAnsiTheme="minorEastAsia" w:eastAsiaTheme="minorEastAsia"/>
                <w:sz w:val="18"/>
                <w:szCs w:val="18"/>
                <w:lang w:eastAsia="zh-CN"/>
              </w:rPr>
              <w:t>社区为平台，以统筹社区照顾、扩大社区参与、促进社区融合与社区发展、参与社区矫正和社区戒毒社区康复等为主要任务开展专业活动。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社会资源统筹协调</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积极调动和开拓社会多元资源</w:t>
            </w:r>
            <w:r>
              <w:rPr>
                <w:rFonts w:hint="eastAsia" w:asciiTheme="minorEastAsia" w:hAnsiTheme="minorEastAsia" w:eastAsiaTheme="minorEastAsia"/>
                <w:sz w:val="18"/>
                <w:szCs w:val="18"/>
                <w:lang w:eastAsia="zh-CN"/>
              </w:rPr>
              <w:t>，精准对接服务对象需求，构建可持续的社会支持系统。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536" w:type="dxa"/>
            <w:gridSpan w:val="2"/>
            <w:vMerge w:val="restart"/>
            <w:shd w:val="clear" w:color="auto" w:fill="auto"/>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4.行业协会商会</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会员管理</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建立包含会员入会退会、会员信息档案管理、会员联络、会员服务、会费收取等内容的会员管理体系。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市场主体</w:t>
            </w:r>
            <w:r>
              <w:rPr>
                <w:rFonts w:asciiTheme="minorEastAsia" w:hAnsiTheme="minorEastAsia" w:eastAsiaTheme="minorEastAsia"/>
                <w:sz w:val="18"/>
                <w:szCs w:val="18"/>
                <w:lang w:eastAsia="zh-CN"/>
              </w:rPr>
              <w:t>服务</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为市场主体提供信息咨询、宣传培训、市场拓展、权益保护、纠纷处理等方面的服务。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团体标准制定与实施</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遵循开放</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透明</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公平的原则</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协调市场主体共同制定</w:t>
            </w:r>
            <w:r>
              <w:rPr>
                <w:rFonts w:hint="eastAsia" w:asciiTheme="minorEastAsia" w:hAnsiTheme="minorEastAsia" w:eastAsiaTheme="minorEastAsia"/>
                <w:sz w:val="18"/>
                <w:szCs w:val="18"/>
                <w:lang w:eastAsia="zh-CN"/>
              </w:rPr>
              <w:t>满足市场和创新需要的团体标准，由本团体成员约定采用或者按照本团体的规定供社会自愿采用。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行业自律与</w:t>
            </w:r>
            <w:r>
              <w:rPr>
                <w:rFonts w:hint="eastAsia" w:asciiTheme="minorEastAsia" w:hAnsiTheme="minorEastAsia" w:eastAsiaTheme="minorEastAsia"/>
                <w:sz w:val="18"/>
                <w:szCs w:val="18"/>
                <w:lang w:eastAsia="zh-CN"/>
              </w:rPr>
              <w:t>市场</w:t>
            </w:r>
            <w:r>
              <w:rPr>
                <w:rFonts w:asciiTheme="minorEastAsia" w:hAnsiTheme="minorEastAsia" w:eastAsiaTheme="minorEastAsia"/>
                <w:sz w:val="18"/>
                <w:szCs w:val="18"/>
                <w:lang w:eastAsia="zh-CN"/>
              </w:rPr>
              <w:t>秩序</w:t>
            </w:r>
            <w:r>
              <w:rPr>
                <w:rFonts w:hint="eastAsia" w:asciiTheme="minorEastAsia" w:hAnsiTheme="minorEastAsia" w:eastAsiaTheme="minorEastAsia"/>
                <w:sz w:val="18"/>
                <w:szCs w:val="18"/>
                <w:lang w:eastAsia="zh-CN"/>
              </w:rPr>
              <w:t>维护</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制定行业自律规约</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规范会员企业生产和经营行为，引导本行业的经营者依法竞争，自觉维护市场竞争秩序</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536" w:type="dxa"/>
            <w:gridSpan w:val="2"/>
            <w:vMerge w:val="restart"/>
            <w:shd w:val="clear" w:color="auto" w:fill="auto"/>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5.科学研究类、智库类社会组织</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产学研合作与科研成果转化应用</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发挥智力资源和人才优势，整合企业、高校、科研机构等多方力量，搭建产学研合作平台，加快</w:t>
            </w:r>
            <w:r>
              <w:rPr>
                <w:rFonts w:asciiTheme="minorEastAsia" w:hAnsiTheme="minorEastAsia" w:eastAsiaTheme="minorEastAsia"/>
                <w:sz w:val="18"/>
                <w:szCs w:val="18"/>
                <w:lang w:eastAsia="zh-CN"/>
              </w:rPr>
              <w:t>技术要素与资本、人才等创新要素的集聚融通</w:t>
            </w:r>
            <w:r>
              <w:rPr>
                <w:rFonts w:hint="eastAsia" w:asciiTheme="minorEastAsia" w:hAnsiTheme="minorEastAsia" w:eastAsiaTheme="minorEastAsia"/>
                <w:sz w:val="18"/>
                <w:szCs w:val="18"/>
                <w:lang w:eastAsia="zh-CN"/>
              </w:rPr>
              <w:t>，促进科研成果的转化与应用。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决策咨询服务</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依法参与政府部门以政府采购</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直接委托</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课题合作等形式开展的政策研究</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决策评估</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政策解读等决策咨询服务</w:t>
            </w:r>
            <w:r>
              <w:rPr>
                <w:rFonts w:hint="eastAsia" w:asciiTheme="minorEastAsia" w:hAnsiTheme="minorEastAsia" w:eastAsiaTheme="minorEastAsia"/>
                <w:sz w:val="18"/>
                <w:szCs w:val="18"/>
                <w:lang w:eastAsia="zh-CN"/>
              </w:rPr>
              <w:t>；积极承接企业等社会多元主体委托的咨询服务。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学术交流与合作</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组织和举办多种形式的国内外学术</w:t>
            </w:r>
            <w:r>
              <w:rPr>
                <w:rFonts w:asciiTheme="minorEastAsia" w:hAnsiTheme="minorEastAsia" w:eastAsiaTheme="minorEastAsia"/>
                <w:sz w:val="18"/>
                <w:szCs w:val="18"/>
                <w:lang w:eastAsia="zh-CN"/>
              </w:rPr>
              <w:t>交流活动</w:t>
            </w:r>
            <w:r>
              <w:rPr>
                <w:rFonts w:hint="eastAsia" w:asciiTheme="minorEastAsia" w:hAnsiTheme="minorEastAsia" w:eastAsiaTheme="minorEastAsia"/>
                <w:sz w:val="18"/>
                <w:szCs w:val="18"/>
                <w:lang w:eastAsia="zh-CN"/>
              </w:rPr>
              <w:t>；促进</w:t>
            </w:r>
            <w:r>
              <w:rPr>
                <w:rFonts w:asciiTheme="minorEastAsia" w:hAnsiTheme="minorEastAsia" w:eastAsiaTheme="minorEastAsia"/>
                <w:sz w:val="18"/>
                <w:szCs w:val="18"/>
                <w:lang w:eastAsia="zh-CN"/>
              </w:rPr>
              <w:t>国际科技合作</w:t>
            </w:r>
            <w:r>
              <w:rPr>
                <w:rFonts w:hint="eastAsia" w:asciiTheme="minorEastAsia" w:hAnsiTheme="minorEastAsia" w:eastAsiaTheme="minorEastAsia"/>
                <w:sz w:val="18"/>
                <w:szCs w:val="18"/>
                <w:lang w:eastAsia="zh-CN"/>
              </w:rPr>
              <w:t>；提升学术水平和学术能力；出版</w:t>
            </w:r>
            <w:r>
              <w:rPr>
                <w:rFonts w:asciiTheme="minorEastAsia" w:hAnsiTheme="minorEastAsia" w:eastAsiaTheme="minorEastAsia"/>
                <w:sz w:val="18"/>
                <w:szCs w:val="18"/>
                <w:lang w:eastAsia="zh-CN"/>
              </w:rPr>
              <w:t>学术期刊等</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科学普及</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开展讲座、展览展示、竞赛、科学实验等多种形式的</w:t>
            </w:r>
            <w:r>
              <w:rPr>
                <w:rFonts w:asciiTheme="minorEastAsia" w:hAnsiTheme="minorEastAsia" w:eastAsiaTheme="minorEastAsia"/>
                <w:sz w:val="18"/>
                <w:szCs w:val="18"/>
                <w:lang w:eastAsia="zh-CN"/>
              </w:rPr>
              <w:t>科普活动</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536" w:type="dxa"/>
            <w:gridSpan w:val="2"/>
            <w:vMerge w:val="restart"/>
            <w:shd w:val="clear" w:color="auto" w:fill="auto"/>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6.养老托育、卫生健康、残疾人康复类社会组织</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服务设施的建设与运营</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依照现行国家及行业标准、规程等，建设</w:t>
            </w:r>
            <w:r>
              <w:rPr>
                <w:rFonts w:asciiTheme="minorEastAsia" w:hAnsiTheme="minorEastAsia" w:eastAsiaTheme="minorEastAsia"/>
                <w:sz w:val="18"/>
                <w:szCs w:val="18"/>
                <w:lang w:eastAsia="zh-CN"/>
              </w:rPr>
              <w:t>和运营管理相关服务设施</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服务</w:t>
            </w:r>
            <w:r>
              <w:rPr>
                <w:rFonts w:asciiTheme="minorEastAsia" w:hAnsiTheme="minorEastAsia" w:eastAsiaTheme="minorEastAsia"/>
                <w:sz w:val="18"/>
                <w:szCs w:val="18"/>
                <w:lang w:eastAsia="zh-CN"/>
              </w:rPr>
              <w:t>标准化与服务质量管理</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建立服务质量管理体系，明确服务项目与质量要求，开展服务评价，及时制定整改措施，为服务对象提供高质量的服务。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机构安全管理与应急防护</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完善落实安全管理制度，针对服务安全风险进行动态评估，制定预防措施及处置方案，</w:t>
            </w:r>
            <w:r>
              <w:rPr>
                <w:rFonts w:asciiTheme="minorEastAsia" w:hAnsiTheme="minorEastAsia" w:eastAsiaTheme="minorEastAsia"/>
                <w:sz w:val="18"/>
                <w:szCs w:val="18"/>
                <w:lang w:eastAsia="zh-CN"/>
              </w:rPr>
              <w:t>并定期</w:t>
            </w:r>
            <w:r>
              <w:rPr>
                <w:rFonts w:hint="eastAsia" w:asciiTheme="minorEastAsia" w:hAnsiTheme="minorEastAsia" w:eastAsiaTheme="minorEastAsia"/>
                <w:sz w:val="18"/>
                <w:szCs w:val="18"/>
                <w:lang w:eastAsia="zh-CN"/>
              </w:rPr>
              <w:t>组织员工开展</w:t>
            </w:r>
            <w:r>
              <w:rPr>
                <w:rFonts w:asciiTheme="minorEastAsia" w:hAnsiTheme="minorEastAsia" w:eastAsiaTheme="minorEastAsia"/>
                <w:sz w:val="18"/>
                <w:szCs w:val="18"/>
                <w:lang w:eastAsia="zh-CN"/>
              </w:rPr>
              <w:t>培训</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演习等</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536" w:type="dxa"/>
            <w:gridSpan w:val="2"/>
            <w:vMerge w:val="restart"/>
            <w:shd w:val="clear" w:color="auto" w:fill="auto"/>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7. 非营利性民办学校</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教育教学管理</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依据《中华人民共和国民办教育促进法》及实施条例等法律法规，</w:t>
            </w:r>
            <w:r>
              <w:rPr>
                <w:rFonts w:asciiTheme="minorEastAsia" w:hAnsiTheme="minorEastAsia" w:eastAsiaTheme="minorEastAsia"/>
                <w:sz w:val="18"/>
                <w:szCs w:val="18"/>
                <w:lang w:eastAsia="zh-CN"/>
              </w:rPr>
              <w:t>组织教育教学、科学研究活动</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教师队伍建设</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建立完善并落实教师</w:t>
            </w:r>
            <w:r>
              <w:rPr>
                <w:rFonts w:hint="eastAsia" w:asciiTheme="minorEastAsia" w:hAnsiTheme="minorEastAsia" w:eastAsiaTheme="minorEastAsia"/>
                <w:sz w:val="18"/>
                <w:szCs w:val="18"/>
                <w:lang w:eastAsia="zh-CN"/>
              </w:rPr>
              <w:t>聘任</w:t>
            </w:r>
            <w:r>
              <w:rPr>
                <w:rFonts w:asciiTheme="minorEastAsia" w:hAnsiTheme="minorEastAsia" w:eastAsiaTheme="minorEastAsia"/>
                <w:sz w:val="18"/>
                <w:szCs w:val="18"/>
                <w:lang w:eastAsia="zh-CN"/>
              </w:rPr>
              <w:t>、师德及业务考核、</w:t>
            </w:r>
            <w:r>
              <w:rPr>
                <w:rFonts w:hint="eastAsia" w:asciiTheme="minorEastAsia" w:hAnsiTheme="minorEastAsia" w:eastAsiaTheme="minorEastAsia"/>
                <w:sz w:val="18"/>
                <w:szCs w:val="18"/>
                <w:lang w:eastAsia="zh-CN"/>
              </w:rPr>
              <w:t>福利待遇、培训和继续教育、表彰奖励、权利保护等制度。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人才培养质量管理</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明确办学定位，创新办学模式，不断提升人才培养水平和办学质量。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风险防范</w:t>
            </w:r>
          </w:p>
        </w:tc>
        <w:tc>
          <w:tcPr>
            <w:tcW w:w="5648" w:type="dxa"/>
            <w:shd w:val="clear" w:color="auto" w:fill="auto"/>
            <w:vAlign w:val="center"/>
          </w:tcPr>
          <w:p>
            <w:pPr>
              <w:widowControl/>
              <w:ind w:right="-130" w:rightChars="-59"/>
              <w:rPr>
                <w:rFonts w:asciiTheme="minorEastAsia" w:hAnsiTheme="minorEastAsia" w:eastAsiaTheme="minorEastAsia"/>
                <w:sz w:val="18"/>
                <w:szCs w:val="18"/>
                <w:highlight w:val="yellow"/>
                <w:lang w:eastAsia="zh-CN"/>
              </w:rPr>
            </w:pPr>
            <w:r>
              <w:rPr>
                <w:rFonts w:hint="eastAsia" w:asciiTheme="minorEastAsia" w:hAnsiTheme="minorEastAsia" w:eastAsiaTheme="minorEastAsia"/>
                <w:sz w:val="18"/>
                <w:szCs w:val="18"/>
                <w:lang w:eastAsia="zh-CN"/>
              </w:rPr>
              <w:t>建立完善并落实消防、自然灾害预防、卫生与健康、食品安全、教职工及学生心理健康等风险</w:t>
            </w:r>
            <w:r>
              <w:rPr>
                <w:rFonts w:asciiTheme="minorEastAsia" w:hAnsiTheme="minorEastAsia" w:eastAsiaTheme="minorEastAsia"/>
                <w:sz w:val="18"/>
                <w:szCs w:val="18"/>
                <w:lang w:eastAsia="zh-CN"/>
              </w:rPr>
              <w:t>防范预案</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并定期</w:t>
            </w:r>
            <w:r>
              <w:rPr>
                <w:rFonts w:hint="eastAsia" w:asciiTheme="minorEastAsia" w:hAnsiTheme="minorEastAsia" w:eastAsiaTheme="minorEastAsia"/>
                <w:sz w:val="18"/>
                <w:szCs w:val="18"/>
                <w:lang w:eastAsia="zh-CN"/>
              </w:rPr>
              <w:t>组织教职工、学生</w:t>
            </w:r>
            <w:r>
              <w:rPr>
                <w:rFonts w:asciiTheme="minorEastAsia" w:hAnsiTheme="minorEastAsia" w:eastAsiaTheme="minorEastAsia"/>
                <w:sz w:val="18"/>
                <w:szCs w:val="18"/>
                <w:lang w:eastAsia="zh-CN"/>
              </w:rPr>
              <w:t>进行培训</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演习</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536" w:type="dxa"/>
            <w:gridSpan w:val="2"/>
            <w:vMerge w:val="restart"/>
            <w:shd w:val="clear" w:color="auto" w:fill="auto"/>
            <w:vAlign w:val="center"/>
          </w:tcPr>
          <w:p>
            <w:pPr>
              <w:pStyle w:val="27"/>
              <w:numPr>
                <w:ilvl w:val="0"/>
                <w:numId w:val="0"/>
              </w:num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8.文化艺术类、体育类社会组织</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文艺演出与体育活动策划组织</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策划</w:t>
            </w:r>
            <w:r>
              <w:rPr>
                <w:rFonts w:hint="eastAsia" w:asciiTheme="minorEastAsia" w:hAnsiTheme="minorEastAsia" w:eastAsiaTheme="minorEastAsia"/>
                <w:sz w:val="18"/>
                <w:szCs w:val="18"/>
                <w:lang w:eastAsia="zh-CN"/>
              </w:rPr>
              <w:t>和开展内容丰富、形式多样、健康向上的</w:t>
            </w:r>
            <w:r>
              <w:rPr>
                <w:rFonts w:asciiTheme="minorEastAsia" w:hAnsiTheme="minorEastAsia" w:eastAsiaTheme="minorEastAsia"/>
                <w:sz w:val="18"/>
                <w:szCs w:val="18"/>
                <w:lang w:eastAsia="zh-CN"/>
              </w:rPr>
              <w:t>文艺演出</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体育活动</w:t>
            </w:r>
            <w:r>
              <w:rPr>
                <w:rFonts w:hint="eastAsia" w:asciiTheme="minorEastAsia" w:hAnsiTheme="minorEastAsia" w:eastAsiaTheme="minorEastAsia"/>
                <w:sz w:val="18"/>
                <w:szCs w:val="18"/>
                <w:lang w:eastAsia="zh-CN"/>
              </w:rPr>
              <w:t>及</w:t>
            </w:r>
            <w:r>
              <w:rPr>
                <w:rFonts w:asciiTheme="minorEastAsia" w:hAnsiTheme="minorEastAsia" w:eastAsiaTheme="minorEastAsia"/>
                <w:sz w:val="18"/>
                <w:szCs w:val="18"/>
                <w:lang w:eastAsia="zh-CN"/>
              </w:rPr>
              <w:t>全民健身活动</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满足人民群众</w:t>
            </w:r>
            <w:bookmarkStart w:id="44" w:name="baidusnap7"/>
            <w:bookmarkEnd w:id="44"/>
            <w:r>
              <w:rPr>
                <w:rFonts w:asciiTheme="minorEastAsia" w:hAnsiTheme="minorEastAsia" w:eastAsiaTheme="minorEastAsia"/>
                <w:sz w:val="18"/>
                <w:szCs w:val="18"/>
                <w:lang w:eastAsia="zh-CN"/>
              </w:rPr>
              <w:t>精神</w:t>
            </w:r>
            <w:bookmarkStart w:id="45" w:name="baidusnap4"/>
            <w:bookmarkEnd w:id="45"/>
            <w:r>
              <w:rPr>
                <w:rFonts w:asciiTheme="minorEastAsia" w:hAnsiTheme="minorEastAsia" w:eastAsiaTheme="minorEastAsia"/>
                <w:sz w:val="18"/>
                <w:szCs w:val="18"/>
                <w:lang w:eastAsia="zh-CN"/>
              </w:rPr>
              <w:t>文化和体育健身需求</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536" w:type="dxa"/>
            <w:gridSpan w:val="2"/>
            <w:vMerge w:val="continue"/>
            <w:shd w:val="clear" w:color="auto" w:fill="auto"/>
            <w:vAlign w:val="center"/>
          </w:tcPr>
          <w:p>
            <w:pPr>
              <w:pStyle w:val="27"/>
              <w:numPr>
                <w:ilvl w:val="0"/>
                <w:numId w:val="0"/>
              </w:numPr>
              <w:jc w:val="center"/>
              <w:rPr>
                <w:rFonts w:asciiTheme="minorEastAsia" w:hAnsiTheme="minorEastAsia" w:eastAsiaTheme="minorEastAsia"/>
                <w:sz w:val="18"/>
                <w:szCs w:val="18"/>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公共文化体育设施运营和管理</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通过承接政府购买服务等方式</w:t>
            </w:r>
            <w:r>
              <w:rPr>
                <w:rFonts w:hint="eastAsia" w:asciiTheme="minorEastAsia" w:hAnsiTheme="minorEastAsia" w:eastAsiaTheme="minorEastAsia"/>
                <w:sz w:val="18"/>
                <w:szCs w:val="18"/>
                <w:lang w:eastAsia="zh-CN"/>
              </w:rPr>
              <w:t>，运营和管理</w:t>
            </w:r>
            <w:r>
              <w:rPr>
                <w:rFonts w:asciiTheme="minorEastAsia" w:hAnsiTheme="minorEastAsia" w:eastAsiaTheme="minorEastAsia"/>
                <w:sz w:val="18"/>
                <w:szCs w:val="18"/>
                <w:lang w:eastAsia="zh-CN"/>
              </w:rPr>
              <w:t>公共文化体育设施</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民族文化体育传播和传承</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通过举办文化体育展览展示</w:t>
            </w:r>
            <w:r>
              <w:rPr>
                <w:rFonts w:hint="eastAsia" w:asciiTheme="minorEastAsia" w:hAnsiTheme="minorEastAsia" w:eastAsiaTheme="minorEastAsia"/>
                <w:sz w:val="18"/>
                <w:szCs w:val="18"/>
                <w:lang w:eastAsia="zh-CN"/>
              </w:rPr>
              <w:t>等活动，推动</w:t>
            </w:r>
            <w:r>
              <w:rPr>
                <w:rFonts w:asciiTheme="minorEastAsia" w:hAnsiTheme="minorEastAsia" w:eastAsiaTheme="minorEastAsia"/>
                <w:sz w:val="18"/>
                <w:szCs w:val="18"/>
                <w:lang w:eastAsia="zh-CN"/>
              </w:rPr>
              <w:t>中华优秀传统文化与民族民间传统体育的保护、传承</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文化体育交流与合作</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开展多种形式的文化</w:t>
            </w:r>
            <w:r>
              <w:rPr>
                <w:rFonts w:asciiTheme="minorEastAsia" w:hAnsiTheme="minorEastAsia" w:eastAsiaTheme="minorEastAsia"/>
                <w:sz w:val="18"/>
                <w:szCs w:val="18"/>
                <w:lang w:eastAsia="zh-CN"/>
              </w:rPr>
              <w:t>体育交流活动</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加强与国内外文化体育组织的互动</w:t>
            </w:r>
            <w:r>
              <w:rPr>
                <w:rFonts w:hint="eastAsia" w:asciiTheme="minorEastAsia" w:hAnsiTheme="minorEastAsia" w:eastAsiaTheme="minorEastAsia"/>
                <w:sz w:val="18"/>
                <w:szCs w:val="18"/>
                <w:lang w:eastAsia="zh-CN"/>
              </w:rPr>
              <w:t>与</w:t>
            </w:r>
            <w:r>
              <w:rPr>
                <w:rFonts w:asciiTheme="minorEastAsia" w:hAnsiTheme="minorEastAsia" w:eastAsiaTheme="minorEastAsia"/>
                <w:sz w:val="18"/>
                <w:szCs w:val="18"/>
                <w:lang w:eastAsia="zh-CN"/>
              </w:rPr>
              <w:t>合作</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1536" w:type="dxa"/>
            <w:gridSpan w:val="2"/>
            <w:vMerge w:val="restart"/>
            <w:shd w:val="clear" w:color="auto" w:fill="auto"/>
            <w:vAlign w:val="center"/>
          </w:tcPr>
          <w:p>
            <w:pPr>
              <w:pStyle w:val="27"/>
              <w:numPr>
                <w:ilvl w:val="0"/>
                <w:numId w:val="0"/>
              </w:num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9.生态环境类</w:t>
            </w:r>
          </w:p>
          <w:p>
            <w:pPr>
              <w:pStyle w:val="27"/>
              <w:numPr>
                <w:ilvl w:val="0"/>
                <w:numId w:val="0"/>
              </w:num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社会组织</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rPr>
              <w:t>环境教育</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开展面向社会公众的生态环境教育活动，普及生态环境基本知识和生态环境保护法规，增强生态环境保护意识，提高全民生态文明素养。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536" w:type="dxa"/>
            <w:gridSpan w:val="2"/>
            <w:vMerge w:val="continue"/>
            <w:shd w:val="clear" w:color="auto" w:fill="auto"/>
            <w:vAlign w:val="center"/>
          </w:tcPr>
          <w:p>
            <w:pPr>
              <w:pStyle w:val="27"/>
              <w:numPr>
                <w:ilvl w:val="0"/>
                <w:numId w:val="0"/>
              </w:numPr>
              <w:jc w:val="center"/>
              <w:rPr>
                <w:rFonts w:asciiTheme="minorEastAsia" w:hAnsiTheme="minorEastAsia" w:eastAsiaTheme="minorEastAsia"/>
                <w:sz w:val="18"/>
                <w:szCs w:val="18"/>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rPr>
              <w:t>环境监督</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依法开展环境保护社会监督，发现任何单位和个人有污染环境和破坏生态行为的，向环境保护主管部门或者其他负有环境保护监督管理职责的部门举报。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rPr>
              <w:t>环境</w:t>
            </w:r>
            <w:r>
              <w:rPr>
                <w:rFonts w:hint="eastAsia" w:asciiTheme="minorEastAsia" w:hAnsiTheme="minorEastAsia" w:eastAsiaTheme="minorEastAsia"/>
                <w:sz w:val="18"/>
                <w:szCs w:val="18"/>
                <w:lang w:eastAsia="zh-CN"/>
              </w:rPr>
              <w:t>公益诉讼</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对污染环境、破坏生态，损害社会公共利益的行为，</w:t>
            </w:r>
            <w:r>
              <w:rPr>
                <w:rFonts w:hint="eastAsia" w:asciiTheme="minorEastAsia" w:hAnsiTheme="minorEastAsia" w:eastAsiaTheme="minorEastAsia"/>
                <w:sz w:val="18"/>
                <w:szCs w:val="18"/>
                <w:lang w:eastAsia="zh-CN"/>
              </w:rPr>
              <w:t>根据《中华人民共和国环境保护法》等法律法规，依法</w:t>
            </w:r>
            <w:r>
              <w:rPr>
                <w:rFonts w:asciiTheme="minorEastAsia" w:hAnsiTheme="minorEastAsia" w:eastAsiaTheme="minorEastAsia"/>
                <w:sz w:val="18"/>
                <w:szCs w:val="18"/>
                <w:lang w:eastAsia="zh-CN"/>
              </w:rPr>
              <w:t>开展生态环境公益诉讼活动。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生态环境政策倡导</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向政府部门提出有关</w:t>
            </w:r>
            <w:r>
              <w:rPr>
                <w:rFonts w:hint="eastAsia" w:asciiTheme="minorEastAsia" w:hAnsiTheme="minorEastAsia" w:eastAsiaTheme="minorEastAsia"/>
                <w:sz w:val="18"/>
                <w:szCs w:val="18"/>
                <w:lang w:eastAsia="zh-CN"/>
              </w:rPr>
              <w:t>生态</w:t>
            </w:r>
            <w:r>
              <w:rPr>
                <w:rFonts w:asciiTheme="minorEastAsia" w:hAnsiTheme="minorEastAsia" w:eastAsiaTheme="minorEastAsia"/>
                <w:sz w:val="18"/>
                <w:szCs w:val="18"/>
                <w:lang w:eastAsia="zh-CN"/>
              </w:rPr>
              <w:t>环境</w:t>
            </w:r>
            <w:r>
              <w:rPr>
                <w:rFonts w:hint="eastAsia" w:asciiTheme="minorEastAsia" w:hAnsiTheme="minorEastAsia" w:eastAsiaTheme="minorEastAsia"/>
                <w:sz w:val="18"/>
                <w:szCs w:val="18"/>
                <w:lang w:eastAsia="zh-CN"/>
              </w:rPr>
              <w:t>保护</w:t>
            </w:r>
            <w:r>
              <w:rPr>
                <w:rFonts w:asciiTheme="minorEastAsia" w:hAnsiTheme="minorEastAsia" w:eastAsiaTheme="minorEastAsia"/>
                <w:sz w:val="18"/>
                <w:szCs w:val="18"/>
                <w:lang w:eastAsia="zh-CN"/>
              </w:rPr>
              <w:t>的意见建议</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推动生态环境保护政策的</w:t>
            </w:r>
            <w:r>
              <w:rPr>
                <w:rFonts w:hint="eastAsia" w:asciiTheme="minorEastAsia" w:hAnsiTheme="minorEastAsia" w:eastAsiaTheme="minorEastAsia"/>
                <w:sz w:val="18"/>
                <w:szCs w:val="18"/>
                <w:lang w:eastAsia="zh-CN"/>
              </w:rPr>
              <w:t>制定、</w:t>
            </w:r>
            <w:r>
              <w:rPr>
                <w:rFonts w:asciiTheme="minorEastAsia" w:hAnsiTheme="minorEastAsia" w:eastAsiaTheme="minorEastAsia"/>
                <w:sz w:val="18"/>
                <w:szCs w:val="18"/>
                <w:lang w:eastAsia="zh-CN"/>
              </w:rPr>
              <w:t>完善</w:t>
            </w:r>
            <w:r>
              <w:rPr>
                <w:rFonts w:hint="eastAsia" w:asciiTheme="minorEastAsia" w:hAnsiTheme="minorEastAsia" w:eastAsiaTheme="minorEastAsia"/>
                <w:sz w:val="18"/>
                <w:szCs w:val="18"/>
                <w:lang w:eastAsia="zh-CN"/>
              </w:rPr>
              <w:t>和</w:t>
            </w:r>
            <w:r>
              <w:rPr>
                <w:rFonts w:asciiTheme="minorEastAsia" w:hAnsiTheme="minorEastAsia" w:eastAsiaTheme="minorEastAsia"/>
                <w:sz w:val="18"/>
                <w:szCs w:val="18"/>
                <w:lang w:eastAsia="zh-CN"/>
              </w:rPr>
              <w:t>落实</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生态</w:t>
            </w:r>
            <w:r>
              <w:rPr>
                <w:rFonts w:asciiTheme="minorEastAsia" w:hAnsiTheme="minorEastAsia" w:eastAsiaTheme="minorEastAsia"/>
                <w:sz w:val="18"/>
                <w:szCs w:val="18"/>
                <w:lang w:eastAsia="zh-CN"/>
              </w:rPr>
              <w:t>环境保护国际交流与合作</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参与国际合作交流，积极“走出去”</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通过民间交往讲好中国环保故事</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促进环境保护</w:t>
            </w:r>
            <w:r>
              <w:rPr>
                <w:rFonts w:hint="eastAsia" w:asciiTheme="minorEastAsia" w:hAnsiTheme="minorEastAsia" w:eastAsiaTheme="minorEastAsia"/>
                <w:sz w:val="18"/>
                <w:szCs w:val="18"/>
                <w:lang w:eastAsia="zh-CN"/>
              </w:rPr>
              <w:t>民间</w:t>
            </w:r>
            <w:r>
              <w:rPr>
                <w:rFonts w:asciiTheme="minorEastAsia" w:hAnsiTheme="minorEastAsia" w:eastAsiaTheme="minorEastAsia"/>
                <w:sz w:val="18"/>
                <w:szCs w:val="18"/>
                <w:lang w:eastAsia="zh-CN"/>
              </w:rPr>
              <w:t>合作</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536" w:type="dxa"/>
            <w:gridSpan w:val="2"/>
            <w:vMerge w:val="restart"/>
            <w:shd w:val="clear" w:color="auto" w:fill="auto"/>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rPr>
              <w:t>10.枢纽型社会组织</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社会组织培育</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为社会组织提供办公场所、设施设备、政策</w:t>
            </w:r>
            <w:r>
              <w:rPr>
                <w:rFonts w:hint="eastAsia" w:asciiTheme="minorEastAsia" w:hAnsiTheme="minorEastAsia" w:eastAsiaTheme="minorEastAsia"/>
                <w:sz w:val="18"/>
                <w:szCs w:val="18"/>
                <w:lang w:eastAsia="zh-CN"/>
              </w:rPr>
              <w:t>指引咨询、专业能力建设、</w:t>
            </w:r>
            <w:r>
              <w:rPr>
                <w:rFonts w:asciiTheme="minorEastAsia" w:hAnsiTheme="minorEastAsia" w:eastAsiaTheme="minorEastAsia"/>
                <w:sz w:val="18"/>
                <w:szCs w:val="18"/>
                <w:lang w:eastAsia="zh-CN"/>
              </w:rPr>
              <w:t>党建工作等方面的支持</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社会组织专业人才培养</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开展符合社会组织特点和发展需求的专业人才培养计划，促进社会组织的专业化发展。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社会组织行业自律</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制定社会组织行业自律准则</w:t>
            </w:r>
            <w:r>
              <w:rPr>
                <w:rFonts w:hint="eastAsia" w:asciiTheme="minorEastAsia" w:hAnsiTheme="minorEastAsia" w:eastAsiaTheme="minorEastAsia"/>
                <w:sz w:val="18"/>
                <w:szCs w:val="18"/>
                <w:lang w:eastAsia="zh-CN"/>
              </w:rPr>
              <w:t>，促进</w:t>
            </w:r>
            <w:r>
              <w:rPr>
                <w:rFonts w:asciiTheme="minorEastAsia" w:hAnsiTheme="minorEastAsia" w:eastAsiaTheme="minorEastAsia"/>
                <w:sz w:val="18"/>
                <w:szCs w:val="18"/>
                <w:lang w:eastAsia="zh-CN"/>
              </w:rPr>
              <w:t>社会组织诚实守信、依法运作</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社会组织权益维护</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向政府部门反映社会组织诉求，</w:t>
            </w:r>
            <w:r>
              <w:rPr>
                <w:rFonts w:hint="eastAsia" w:asciiTheme="minorEastAsia" w:hAnsiTheme="minorEastAsia" w:eastAsiaTheme="minorEastAsia"/>
                <w:sz w:val="18"/>
                <w:szCs w:val="18"/>
                <w:lang w:eastAsia="zh-CN"/>
              </w:rPr>
              <w:t>维护社会组织合法权益。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社会组织政策沟通与协调</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发挥社会组织与政府沟通的桥梁和纽带功能，</w:t>
            </w:r>
            <w:r>
              <w:rPr>
                <w:rFonts w:asciiTheme="minorEastAsia" w:hAnsiTheme="minorEastAsia" w:eastAsiaTheme="minorEastAsia"/>
                <w:sz w:val="18"/>
                <w:szCs w:val="18"/>
                <w:lang w:eastAsia="zh-CN"/>
              </w:rPr>
              <w:t>推动</w:t>
            </w:r>
            <w:r>
              <w:rPr>
                <w:rFonts w:hint="eastAsia" w:asciiTheme="minorEastAsia" w:hAnsiTheme="minorEastAsia" w:eastAsiaTheme="minorEastAsia"/>
                <w:sz w:val="18"/>
                <w:szCs w:val="18"/>
                <w:lang w:eastAsia="zh-CN"/>
              </w:rPr>
              <w:t>社会组织</w:t>
            </w:r>
            <w:r>
              <w:rPr>
                <w:rFonts w:asciiTheme="minorEastAsia" w:hAnsiTheme="minorEastAsia" w:eastAsiaTheme="minorEastAsia"/>
                <w:sz w:val="18"/>
                <w:szCs w:val="18"/>
                <w:lang w:eastAsia="zh-CN"/>
              </w:rPr>
              <w:t>领域相关法律法规和政策的</w:t>
            </w:r>
            <w:r>
              <w:rPr>
                <w:rFonts w:hint="eastAsia" w:asciiTheme="minorEastAsia" w:hAnsiTheme="minorEastAsia" w:eastAsiaTheme="minorEastAsia"/>
                <w:sz w:val="18"/>
                <w:szCs w:val="18"/>
                <w:lang w:eastAsia="zh-CN"/>
              </w:rPr>
              <w:t>制定、</w:t>
            </w:r>
            <w:r>
              <w:rPr>
                <w:rFonts w:asciiTheme="minorEastAsia" w:hAnsiTheme="minorEastAsia" w:eastAsiaTheme="minorEastAsia"/>
                <w:sz w:val="18"/>
                <w:szCs w:val="18"/>
                <w:lang w:eastAsia="zh-CN"/>
              </w:rPr>
              <w:t>完善</w:t>
            </w:r>
            <w:r>
              <w:rPr>
                <w:rFonts w:hint="eastAsia" w:asciiTheme="minorEastAsia" w:hAnsiTheme="minorEastAsia" w:eastAsiaTheme="minorEastAsia"/>
                <w:sz w:val="18"/>
                <w:szCs w:val="18"/>
                <w:lang w:eastAsia="zh-CN"/>
              </w:rPr>
              <w:t>和</w:t>
            </w:r>
            <w:r>
              <w:rPr>
                <w:rFonts w:asciiTheme="minorEastAsia" w:hAnsiTheme="minorEastAsia" w:eastAsiaTheme="minorEastAsia"/>
                <w:sz w:val="18"/>
                <w:szCs w:val="18"/>
                <w:lang w:eastAsia="zh-CN"/>
              </w:rPr>
              <w:t>落实</w:t>
            </w:r>
            <w:r>
              <w:rPr>
                <w:rFonts w:hint="eastAsia" w:asciiTheme="minorEastAsia" w:hAnsiTheme="minorEastAsia" w:eastAsiaTheme="minorEastAsia"/>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资源平台搭建</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搭建多样化的信息、资源平台，促进社会组织之间，社会组织与企业、公众、媒体等其他社会主体之间的跨界交流与合作。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536" w:type="dxa"/>
            <w:gridSpan w:val="2"/>
            <w:vMerge w:val="restart"/>
            <w:shd w:val="clear" w:color="auto" w:fill="auto"/>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11.社区社会</w:t>
            </w:r>
          </w:p>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组织</w:t>
            </w: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社区志愿服务活动实施</w:t>
            </w:r>
          </w:p>
        </w:tc>
        <w:tc>
          <w:tcPr>
            <w:tcW w:w="5648" w:type="dxa"/>
            <w:shd w:val="clear" w:color="auto" w:fill="auto"/>
            <w:vAlign w:val="center"/>
          </w:tcPr>
          <w:p>
            <w:pPr>
              <w:widowControl/>
              <w:ind w:right="-130" w:rightChars="-59"/>
              <w:rPr>
                <w:rFonts w:asciiTheme="minorEastAsia" w:hAnsiTheme="minorEastAsia" w:eastAsiaTheme="minorEastAsia"/>
                <w:sz w:val="18"/>
                <w:szCs w:val="18"/>
                <w:highlight w:val="yellow"/>
                <w:lang w:eastAsia="zh-CN"/>
              </w:rPr>
            </w:pPr>
            <w:r>
              <w:rPr>
                <w:rFonts w:hint="eastAsia" w:asciiTheme="minorEastAsia" w:hAnsiTheme="minorEastAsia" w:eastAsiaTheme="minorEastAsia"/>
                <w:sz w:val="18"/>
                <w:szCs w:val="18"/>
                <w:lang w:eastAsia="zh-CN"/>
              </w:rPr>
              <w:t>开展各类主题志愿服务活动，为社区内困难群体提供各类关爱服务，构建守望相助的邻里关系，推动社区志愿服务常态化。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社区慈善活动实施</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整合和动员社区资源，搭建社区慈善参与平台，开展社区慈善服务。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bookmarkStart w:id="52" w:name="_GoBack" w:colFirst="2" w:colLast="3"/>
          </w:p>
        </w:tc>
        <w:tc>
          <w:tcPr>
            <w:tcW w:w="2126" w:type="dxa"/>
            <w:shd w:val="clear" w:color="auto" w:fill="auto"/>
            <w:vAlign w:val="center"/>
          </w:tcPr>
          <w:p>
            <w:pPr>
              <w:widowControl/>
              <w:ind w:right="-108" w:rightChars="-49"/>
              <w:rPr>
                <w:rFonts w:asciiTheme="minorEastAsia" w:hAnsiTheme="minorEastAsia" w:eastAsiaTheme="minorEastAsia"/>
                <w:color w:val="auto"/>
                <w:sz w:val="18"/>
                <w:szCs w:val="18"/>
                <w:lang w:eastAsia="zh-CN"/>
              </w:rPr>
            </w:pPr>
            <w:r>
              <w:rPr>
                <w:rFonts w:asciiTheme="minorEastAsia" w:hAnsiTheme="minorEastAsia" w:eastAsiaTheme="minorEastAsia"/>
                <w:color w:val="auto"/>
                <w:sz w:val="18"/>
                <w:szCs w:val="18"/>
                <w:lang w:eastAsia="zh-CN"/>
              </w:rPr>
              <w:t>社区</w:t>
            </w:r>
            <w:r>
              <w:rPr>
                <w:rFonts w:hint="eastAsia" w:asciiTheme="minorEastAsia" w:hAnsiTheme="minorEastAsia" w:eastAsiaTheme="minorEastAsia"/>
                <w:color w:val="auto"/>
                <w:sz w:val="18"/>
                <w:szCs w:val="18"/>
                <w:lang w:eastAsia="zh-CN"/>
              </w:rPr>
              <w:t>服务</w:t>
            </w:r>
            <w:r>
              <w:rPr>
                <w:rFonts w:asciiTheme="minorEastAsia" w:hAnsiTheme="minorEastAsia" w:eastAsiaTheme="minorEastAsia"/>
                <w:color w:val="auto"/>
                <w:sz w:val="18"/>
                <w:szCs w:val="18"/>
                <w:lang w:eastAsia="zh-CN"/>
              </w:rPr>
              <w:t>活动实施</w:t>
            </w:r>
          </w:p>
        </w:tc>
        <w:tc>
          <w:tcPr>
            <w:tcW w:w="5648" w:type="dxa"/>
            <w:shd w:val="clear" w:color="auto" w:fill="auto"/>
            <w:vAlign w:val="center"/>
          </w:tcPr>
          <w:p>
            <w:pPr>
              <w:widowControl/>
              <w:ind w:right="-130" w:rightChars="-59"/>
              <w:rPr>
                <w:rFonts w:asciiTheme="minorEastAsia" w:hAnsiTheme="minorEastAsia" w:eastAsiaTheme="minorEastAsia"/>
                <w:color w:val="auto"/>
                <w:sz w:val="18"/>
                <w:szCs w:val="18"/>
                <w:highlight w:val="yellow"/>
                <w:lang w:eastAsia="zh-CN"/>
              </w:rPr>
            </w:pPr>
            <w:r>
              <w:rPr>
                <w:rFonts w:hint="eastAsia" w:asciiTheme="minorEastAsia" w:hAnsiTheme="minorEastAsia" w:eastAsiaTheme="minorEastAsia"/>
                <w:color w:val="auto"/>
                <w:sz w:val="18"/>
                <w:szCs w:val="18"/>
                <w:lang w:eastAsia="zh-CN"/>
              </w:rPr>
              <w:t>收集民意，汇集民智，反映居民服务诉求，链接服务资源，为居民提供服务；承接实施社区公共服务项目。</w:t>
            </w:r>
          </w:p>
        </w:tc>
      </w:tr>
      <w:bookmarkEnd w:id="5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平安</w:t>
            </w:r>
            <w:r>
              <w:rPr>
                <w:rFonts w:asciiTheme="minorEastAsia" w:hAnsiTheme="minorEastAsia" w:eastAsiaTheme="minorEastAsia"/>
                <w:sz w:val="18"/>
                <w:szCs w:val="18"/>
                <w:lang w:eastAsia="zh-CN"/>
              </w:rPr>
              <w:t>社区建设活动实施</w:t>
            </w:r>
          </w:p>
        </w:tc>
        <w:tc>
          <w:tcPr>
            <w:tcW w:w="5648" w:type="dxa"/>
            <w:shd w:val="clear" w:color="auto" w:fill="auto"/>
            <w:vAlign w:val="center"/>
          </w:tcPr>
          <w:p>
            <w:pPr>
              <w:widowControl/>
              <w:ind w:right="-130" w:rightChars="-59"/>
              <w:rPr>
                <w:rFonts w:asciiTheme="minorEastAsia" w:hAnsiTheme="minorEastAsia" w:eastAsiaTheme="minorEastAsia"/>
                <w:sz w:val="18"/>
                <w:szCs w:val="18"/>
                <w:highlight w:val="yellow"/>
                <w:lang w:eastAsia="zh-CN"/>
              </w:rPr>
            </w:pPr>
            <w:r>
              <w:rPr>
                <w:rFonts w:hint="eastAsia" w:asciiTheme="minorEastAsia" w:hAnsiTheme="minorEastAsia" w:eastAsiaTheme="minorEastAsia"/>
                <w:sz w:val="18"/>
                <w:szCs w:val="18"/>
                <w:lang w:eastAsia="zh-CN"/>
              </w:rPr>
              <w:t>开展社区矛盾化解、纠纷调解、心理服务等工作，参与平安社区建设、应急救援等工作。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536" w:type="dxa"/>
            <w:gridSpan w:val="2"/>
            <w:vMerge w:val="continue"/>
            <w:shd w:val="clear" w:color="auto" w:fill="auto"/>
            <w:vAlign w:val="center"/>
          </w:tcPr>
          <w:p>
            <w:pPr>
              <w:jc w:val="center"/>
              <w:rPr>
                <w:rFonts w:asciiTheme="minorEastAsia" w:hAnsiTheme="minorEastAsia" w:eastAsiaTheme="minorEastAsia"/>
                <w:sz w:val="18"/>
                <w:szCs w:val="18"/>
                <w:lang w:eastAsia="zh-CN"/>
              </w:rPr>
            </w:pPr>
          </w:p>
        </w:tc>
        <w:tc>
          <w:tcPr>
            <w:tcW w:w="2126" w:type="dxa"/>
            <w:shd w:val="clear" w:color="auto" w:fill="auto"/>
            <w:vAlign w:val="center"/>
          </w:tcPr>
          <w:p>
            <w:pPr>
              <w:widowControl/>
              <w:ind w:right="-108" w:rightChars="-49"/>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社区</w:t>
            </w:r>
            <w:r>
              <w:rPr>
                <w:rFonts w:asciiTheme="minorEastAsia" w:hAnsiTheme="minorEastAsia" w:eastAsiaTheme="minorEastAsia"/>
                <w:sz w:val="18"/>
                <w:szCs w:val="18"/>
                <w:lang w:eastAsia="zh-CN"/>
              </w:rPr>
              <w:t>文明创建活动实施</w:t>
            </w:r>
          </w:p>
        </w:tc>
        <w:tc>
          <w:tcPr>
            <w:tcW w:w="5648" w:type="dxa"/>
            <w:shd w:val="clear" w:color="auto" w:fill="auto"/>
            <w:vAlign w:val="center"/>
          </w:tcPr>
          <w:p>
            <w:pPr>
              <w:widowControl/>
              <w:ind w:right="-130" w:rightChars="-59"/>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开展文化演出、非遗展示、民俗展演、文旅宣传、体育竞赛等活动，推动形成具有本地特色的社区文化</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推进社区文明创建。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536" w:type="dxa"/>
            <w:gridSpan w:val="2"/>
            <w:shd w:val="clear" w:color="auto" w:fill="auto"/>
            <w:vAlign w:val="center"/>
          </w:tcPr>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1</w:t>
            </w:r>
            <w:r>
              <w:rPr>
                <w:rFonts w:asciiTheme="minorEastAsia" w:hAnsiTheme="minorEastAsia" w:eastAsiaTheme="minorEastAsia"/>
                <w:sz w:val="18"/>
                <w:szCs w:val="18"/>
                <w:lang w:eastAsia="zh-CN"/>
              </w:rPr>
              <w:t>2.</w:t>
            </w:r>
            <w:r>
              <w:rPr>
                <w:rFonts w:hint="eastAsia" w:asciiTheme="minorEastAsia" w:hAnsiTheme="minorEastAsia" w:eastAsiaTheme="minorEastAsia"/>
                <w:sz w:val="18"/>
                <w:szCs w:val="18"/>
                <w:lang w:eastAsia="zh-CN"/>
              </w:rPr>
              <w:t>其他社会</w:t>
            </w:r>
          </w:p>
          <w:p>
            <w:pPr>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组织</w:t>
            </w:r>
          </w:p>
        </w:tc>
        <w:tc>
          <w:tcPr>
            <w:tcW w:w="7774" w:type="dxa"/>
            <w:gridSpan w:val="2"/>
            <w:shd w:val="clear" w:color="auto" w:fill="auto"/>
            <w:vAlign w:val="center"/>
          </w:tcPr>
          <w:p>
            <w:pPr>
              <w:pStyle w:val="9"/>
              <w:spacing w:after="120" w:afterLines="50"/>
              <w:ind w:left="0"/>
              <w:jc w:val="both"/>
              <w:rPr>
                <w:lang w:eastAsia="zh-CN"/>
              </w:rPr>
            </w:pPr>
            <w:r>
              <w:rPr>
                <w:rFonts w:hint="eastAsia" w:asciiTheme="minorEastAsia" w:hAnsiTheme="minorEastAsia" w:eastAsiaTheme="minorEastAsia"/>
                <w:sz w:val="18"/>
                <w:szCs w:val="18"/>
                <w:lang w:eastAsia="zh-CN"/>
              </w:rPr>
              <w:t>根据业务发展需要，依照法律法规及其章程开展活动。</w:t>
            </w:r>
          </w:p>
        </w:tc>
      </w:tr>
    </w:tbl>
    <w:p>
      <w:pPr>
        <w:pStyle w:val="2"/>
        <w:ind w:left="440"/>
        <w:rPr>
          <w:lang w:eastAsia="zh-CN"/>
        </w:rPr>
        <w:sectPr>
          <w:headerReference r:id="rId16" w:type="default"/>
          <w:headerReference r:id="rId17" w:type="even"/>
          <w:pgSz w:w="11910" w:h="16840"/>
          <w:pgMar w:top="1417" w:right="1134" w:bottom="1134" w:left="1418" w:header="1418" w:footer="1134" w:gutter="0"/>
          <w:cols w:space="720" w:num="1"/>
          <w:docGrid w:linePitch="299" w:charSpace="0"/>
        </w:sectPr>
      </w:pPr>
    </w:p>
    <w:p>
      <w:pPr>
        <w:keepNext/>
        <w:pageBreakBefore/>
        <w:widowControl/>
        <w:shd w:val="clear" w:color="FFFFFF" w:fill="FFFFFF"/>
        <w:spacing w:before="640" w:after="200"/>
        <w:jc w:val="center"/>
        <w:outlineLvl w:val="0"/>
        <w:rPr>
          <w:rFonts w:ascii="黑体" w:eastAsia="黑体"/>
          <w:sz w:val="21"/>
          <w:szCs w:val="20"/>
          <w:lang w:eastAsia="zh-CN"/>
        </w:rPr>
      </w:pPr>
      <w:r>
        <w:rPr>
          <w:rFonts w:hint="eastAsia" w:ascii="黑体" w:eastAsia="黑体"/>
          <w:sz w:val="21"/>
          <w:szCs w:val="20"/>
          <w:lang w:eastAsia="zh-CN"/>
        </w:rPr>
        <w:t>参</w:t>
      </w:r>
      <w:r>
        <w:rPr>
          <w:rFonts w:ascii="黑体" w:hAnsi="黑体" w:eastAsia="黑体"/>
          <w:sz w:val="21"/>
          <w:szCs w:val="20"/>
          <w:lang w:eastAsia="zh-CN"/>
        </w:rPr>
        <w:t> </w:t>
      </w:r>
      <w:r>
        <w:rPr>
          <w:rFonts w:hint="eastAsia" w:ascii="黑体" w:eastAsia="黑体"/>
          <w:sz w:val="21"/>
          <w:szCs w:val="20"/>
          <w:lang w:eastAsia="zh-CN"/>
        </w:rPr>
        <w:t>考</w:t>
      </w:r>
      <w:r>
        <w:rPr>
          <w:rFonts w:ascii="黑体" w:hAnsi="黑体" w:eastAsia="黑体"/>
          <w:sz w:val="21"/>
          <w:szCs w:val="20"/>
          <w:lang w:eastAsia="zh-CN"/>
        </w:rPr>
        <w:t> </w:t>
      </w:r>
      <w:r>
        <w:rPr>
          <w:rFonts w:hint="eastAsia" w:ascii="黑体" w:eastAsia="黑体"/>
          <w:sz w:val="21"/>
          <w:szCs w:val="20"/>
          <w:lang w:eastAsia="zh-CN"/>
        </w:rPr>
        <w:t>文</w:t>
      </w:r>
      <w:r>
        <w:rPr>
          <w:rFonts w:ascii="黑体" w:hAnsi="黑体" w:eastAsia="黑体"/>
          <w:sz w:val="21"/>
          <w:szCs w:val="20"/>
          <w:lang w:eastAsia="zh-CN"/>
        </w:rPr>
        <w:t> </w:t>
      </w:r>
      <w:r>
        <w:rPr>
          <w:rFonts w:hint="eastAsia" w:ascii="黑体" w:eastAsia="黑体"/>
          <w:sz w:val="21"/>
          <w:szCs w:val="20"/>
          <w:lang w:eastAsia="zh-CN"/>
        </w:rPr>
        <w:t>献</w:t>
      </w:r>
    </w:p>
    <w:p>
      <w:pPr>
        <w:pStyle w:val="9"/>
        <w:numPr>
          <w:ilvl w:val="0"/>
          <w:numId w:val="5"/>
        </w:numPr>
        <w:tabs>
          <w:tab w:val="left" w:pos="567"/>
        </w:tabs>
        <w:spacing w:before="18"/>
        <w:ind w:left="-426" w:firstLine="426"/>
        <w:jc w:val="both"/>
        <w:rPr>
          <w:lang w:eastAsia="zh-CN"/>
        </w:rPr>
      </w:pPr>
      <w:r>
        <w:rPr>
          <w:rFonts w:hint="eastAsia"/>
          <w:lang w:eastAsia="zh-CN"/>
        </w:rPr>
        <w:t>《中华人民共和国民法典》</w:t>
      </w:r>
    </w:p>
    <w:p>
      <w:pPr>
        <w:pStyle w:val="9"/>
        <w:numPr>
          <w:ilvl w:val="0"/>
          <w:numId w:val="5"/>
        </w:numPr>
        <w:tabs>
          <w:tab w:val="left" w:pos="567"/>
        </w:tabs>
        <w:spacing w:before="18"/>
        <w:ind w:left="-426" w:firstLine="426"/>
        <w:jc w:val="both"/>
        <w:rPr>
          <w:lang w:eastAsia="zh-CN"/>
        </w:rPr>
      </w:pPr>
      <w:r>
        <w:rPr>
          <w:rFonts w:hint="eastAsia"/>
          <w:lang w:eastAsia="zh-CN"/>
        </w:rPr>
        <w:t>《中华人民共和国慈善法》</w:t>
      </w:r>
    </w:p>
    <w:p>
      <w:pPr>
        <w:pStyle w:val="9"/>
        <w:numPr>
          <w:ilvl w:val="0"/>
          <w:numId w:val="5"/>
        </w:numPr>
        <w:tabs>
          <w:tab w:val="left" w:pos="567"/>
        </w:tabs>
        <w:spacing w:before="18"/>
        <w:ind w:left="-426" w:firstLine="426"/>
        <w:jc w:val="both"/>
        <w:rPr>
          <w:lang w:eastAsia="zh-CN"/>
        </w:rPr>
      </w:pPr>
      <w:bookmarkStart w:id="46" w:name="_Hlk75183538"/>
      <w:r>
        <w:rPr>
          <w:rFonts w:hint="eastAsia"/>
          <w:lang w:eastAsia="zh-CN"/>
        </w:rPr>
        <w:t>《中华人民共和国环境保护法》</w:t>
      </w:r>
      <w:bookmarkEnd w:id="46"/>
    </w:p>
    <w:p>
      <w:pPr>
        <w:pStyle w:val="9"/>
        <w:numPr>
          <w:ilvl w:val="0"/>
          <w:numId w:val="5"/>
        </w:numPr>
        <w:tabs>
          <w:tab w:val="left" w:pos="567"/>
        </w:tabs>
        <w:spacing w:before="18"/>
        <w:ind w:left="-426" w:firstLine="426"/>
        <w:jc w:val="both"/>
        <w:rPr>
          <w:lang w:eastAsia="zh-CN"/>
        </w:rPr>
      </w:pPr>
      <w:bookmarkStart w:id="47" w:name="_Hlk75183544"/>
      <w:r>
        <w:rPr>
          <w:rFonts w:hint="eastAsia"/>
          <w:lang w:eastAsia="zh-CN"/>
        </w:rPr>
        <w:t>《中华人民共和国民办教育促进法》</w:t>
      </w:r>
      <w:bookmarkEnd w:id="47"/>
    </w:p>
    <w:p>
      <w:pPr>
        <w:pStyle w:val="9"/>
        <w:numPr>
          <w:ilvl w:val="0"/>
          <w:numId w:val="5"/>
        </w:numPr>
        <w:tabs>
          <w:tab w:val="left" w:pos="567"/>
        </w:tabs>
        <w:spacing w:before="18"/>
        <w:ind w:left="-426" w:firstLine="426"/>
        <w:jc w:val="both"/>
        <w:rPr>
          <w:lang w:eastAsia="zh-CN"/>
        </w:rPr>
      </w:pPr>
      <w:bookmarkStart w:id="48" w:name="_Hlk75183553"/>
      <w:r>
        <w:rPr>
          <w:rFonts w:hint="eastAsia"/>
          <w:lang w:eastAsia="zh-CN"/>
        </w:rPr>
        <w:t>《中华人民共和国民办教育促进法实施条例》</w:t>
      </w:r>
      <w:bookmarkEnd w:id="48"/>
    </w:p>
    <w:p>
      <w:pPr>
        <w:pStyle w:val="9"/>
        <w:numPr>
          <w:ilvl w:val="0"/>
          <w:numId w:val="5"/>
        </w:numPr>
        <w:tabs>
          <w:tab w:val="left" w:pos="567"/>
        </w:tabs>
        <w:spacing w:before="18"/>
        <w:ind w:left="-426" w:firstLine="426"/>
        <w:jc w:val="both"/>
        <w:rPr>
          <w:lang w:eastAsia="zh-CN"/>
        </w:rPr>
      </w:pPr>
      <w:bookmarkStart w:id="49" w:name="_Hlk75183573"/>
      <w:r>
        <w:rPr>
          <w:rFonts w:hint="eastAsia"/>
          <w:lang w:eastAsia="zh-CN"/>
        </w:rPr>
        <w:t>《优化营商环境条例》</w:t>
      </w:r>
      <w:bookmarkEnd w:id="49"/>
    </w:p>
    <w:p>
      <w:pPr>
        <w:pStyle w:val="9"/>
        <w:numPr>
          <w:ilvl w:val="0"/>
          <w:numId w:val="5"/>
        </w:numPr>
        <w:tabs>
          <w:tab w:val="left" w:pos="567"/>
        </w:tabs>
        <w:spacing w:before="18"/>
        <w:ind w:left="-426" w:firstLine="426"/>
        <w:jc w:val="both"/>
        <w:rPr>
          <w:lang w:eastAsia="zh-CN"/>
        </w:rPr>
      </w:pPr>
      <w:r>
        <w:rPr>
          <w:rFonts w:hint="eastAsia"/>
          <w:lang w:eastAsia="zh-CN"/>
        </w:rPr>
        <w:t>《志愿服务条例》</w:t>
      </w:r>
    </w:p>
    <w:p>
      <w:pPr>
        <w:pStyle w:val="9"/>
        <w:numPr>
          <w:ilvl w:val="0"/>
          <w:numId w:val="5"/>
        </w:numPr>
        <w:tabs>
          <w:tab w:val="left" w:pos="567"/>
        </w:tabs>
        <w:spacing w:before="18"/>
        <w:ind w:left="-426" w:firstLine="426"/>
        <w:jc w:val="both"/>
        <w:rPr>
          <w:lang w:eastAsia="zh-CN"/>
        </w:rPr>
      </w:pPr>
      <w:bookmarkStart w:id="50" w:name="_Hlk75183577"/>
      <w:r>
        <w:rPr>
          <w:rFonts w:hint="eastAsia"/>
          <w:lang w:eastAsia="zh-CN"/>
        </w:rPr>
        <w:t>《广东省志愿服务条例》</w:t>
      </w:r>
      <w:bookmarkEnd w:id="50"/>
    </w:p>
    <w:p>
      <w:pPr>
        <w:pStyle w:val="9"/>
        <w:numPr>
          <w:ilvl w:val="0"/>
          <w:numId w:val="5"/>
        </w:numPr>
        <w:tabs>
          <w:tab w:val="left" w:pos="567"/>
        </w:tabs>
        <w:spacing w:before="18"/>
        <w:ind w:left="-426" w:firstLine="426"/>
        <w:jc w:val="both"/>
        <w:rPr>
          <w:lang w:eastAsia="zh-CN"/>
        </w:rPr>
      </w:pPr>
      <w:r>
        <w:rPr>
          <w:rFonts w:hint="eastAsia"/>
          <w:lang w:eastAsia="zh-CN"/>
        </w:rPr>
        <w:t>第十三届全国人民代表大会第四次会议.《中华人民共和国国民经济和社会发展第十四个五年规划和2035年远景目标纲要》.2021年3月1</w:t>
      </w:r>
      <w:r>
        <w:rPr>
          <w:lang w:eastAsia="zh-CN"/>
        </w:rPr>
        <w:t>1</w:t>
      </w:r>
      <w:r>
        <w:rPr>
          <w:rFonts w:hint="eastAsia"/>
          <w:lang w:eastAsia="zh-CN"/>
        </w:rPr>
        <w:t>日</w:t>
      </w:r>
    </w:p>
    <w:p>
      <w:pPr>
        <w:pStyle w:val="9"/>
        <w:numPr>
          <w:ilvl w:val="0"/>
          <w:numId w:val="5"/>
        </w:numPr>
        <w:tabs>
          <w:tab w:val="left" w:pos="567"/>
        </w:tabs>
        <w:spacing w:before="18"/>
        <w:ind w:left="-426" w:firstLine="426"/>
        <w:jc w:val="both"/>
        <w:rPr>
          <w:lang w:eastAsia="zh-CN"/>
        </w:rPr>
      </w:pPr>
      <w:r>
        <w:rPr>
          <w:rFonts w:hint="eastAsia"/>
          <w:lang w:eastAsia="zh-CN"/>
        </w:rPr>
        <w:t>广东省人民政府.《广东省人民政府关于印发〈广东省国民经济和社会发展第十四个五年规划和2035年远景目标纲要〉的通知》（粤府〔2021〕28号）. 2021年4月6日</w:t>
      </w:r>
    </w:p>
    <w:p>
      <w:pPr>
        <w:pStyle w:val="9"/>
        <w:numPr>
          <w:ilvl w:val="0"/>
          <w:numId w:val="5"/>
        </w:numPr>
        <w:tabs>
          <w:tab w:val="left" w:pos="567"/>
        </w:tabs>
        <w:spacing w:before="18"/>
        <w:ind w:left="-426" w:firstLine="426"/>
        <w:jc w:val="both"/>
        <w:rPr>
          <w:lang w:eastAsia="zh-CN"/>
        </w:rPr>
      </w:pPr>
      <w:r>
        <w:rPr>
          <w:rFonts w:hint="eastAsia"/>
          <w:lang w:eastAsia="zh-CN"/>
        </w:rPr>
        <w:t>中共中央办公厅 国务院办公厅.《关于改革社会组织管理制度促进社会组织健康有序发展的意见》.201</w:t>
      </w:r>
      <w:r>
        <w:rPr>
          <w:lang w:eastAsia="zh-CN"/>
        </w:rPr>
        <w:t>6</w:t>
      </w:r>
      <w:r>
        <w:rPr>
          <w:rFonts w:hint="eastAsia"/>
          <w:lang w:eastAsia="zh-CN"/>
        </w:rPr>
        <w:t>年</w:t>
      </w:r>
      <w:r>
        <w:rPr>
          <w:lang w:eastAsia="zh-CN"/>
        </w:rPr>
        <w:t>8</w:t>
      </w:r>
      <w:r>
        <w:rPr>
          <w:rFonts w:hint="eastAsia"/>
          <w:lang w:eastAsia="zh-CN"/>
        </w:rPr>
        <w:t>月</w:t>
      </w:r>
      <w:r>
        <w:rPr>
          <w:lang w:eastAsia="zh-CN"/>
        </w:rPr>
        <w:t>21</w:t>
      </w:r>
      <w:r>
        <w:rPr>
          <w:rFonts w:hint="eastAsia"/>
          <w:lang w:eastAsia="zh-CN"/>
        </w:rPr>
        <w:t>日</w:t>
      </w:r>
    </w:p>
    <w:p>
      <w:pPr>
        <w:pStyle w:val="9"/>
        <w:numPr>
          <w:ilvl w:val="0"/>
          <w:numId w:val="5"/>
        </w:numPr>
        <w:tabs>
          <w:tab w:val="left" w:pos="567"/>
        </w:tabs>
        <w:spacing w:before="18"/>
        <w:ind w:left="-426" w:firstLine="426"/>
        <w:jc w:val="both"/>
        <w:rPr>
          <w:lang w:eastAsia="zh-CN"/>
        </w:rPr>
      </w:pPr>
      <w:r>
        <w:rPr>
          <w:rFonts w:hint="eastAsia"/>
          <w:lang w:eastAsia="zh-CN"/>
        </w:rPr>
        <w:t>财政部 民政部.《关于通过政府购买服务支持社会组织培育发展的指导意见》（财综〔2016〕54号）.</w:t>
      </w:r>
      <w:r>
        <w:rPr>
          <w:lang w:eastAsia="zh-CN"/>
        </w:rPr>
        <w:t>2016</w:t>
      </w:r>
      <w:r>
        <w:rPr>
          <w:rFonts w:hint="eastAsia"/>
          <w:lang w:eastAsia="zh-CN"/>
        </w:rPr>
        <w:t>年1</w:t>
      </w:r>
      <w:r>
        <w:rPr>
          <w:lang w:eastAsia="zh-CN"/>
        </w:rPr>
        <w:t>2</w:t>
      </w:r>
      <w:r>
        <w:rPr>
          <w:rFonts w:hint="eastAsia"/>
          <w:lang w:eastAsia="zh-CN"/>
        </w:rPr>
        <w:t>月</w:t>
      </w:r>
      <w:r>
        <w:rPr>
          <w:lang w:eastAsia="zh-CN"/>
        </w:rPr>
        <w:t>29</w:t>
      </w:r>
      <w:r>
        <w:rPr>
          <w:rFonts w:hint="eastAsia"/>
          <w:lang w:eastAsia="zh-CN"/>
        </w:rPr>
        <w:t>日</w:t>
      </w:r>
    </w:p>
    <w:p>
      <w:pPr>
        <w:pStyle w:val="9"/>
        <w:numPr>
          <w:ilvl w:val="0"/>
          <w:numId w:val="5"/>
        </w:numPr>
        <w:tabs>
          <w:tab w:val="left" w:pos="567"/>
        </w:tabs>
        <w:spacing w:before="18"/>
        <w:ind w:left="-426" w:firstLine="426"/>
        <w:jc w:val="both"/>
        <w:rPr>
          <w:lang w:eastAsia="zh-CN"/>
        </w:rPr>
      </w:pPr>
      <w:r>
        <w:rPr>
          <w:rFonts w:hint="eastAsia"/>
          <w:lang w:eastAsia="zh-CN"/>
        </w:rPr>
        <w:t>民政部 中央宣传部 中央组织部 外交部 公安部 财政部 人力资源和社会保障部 国家新闻出版广电总局 国家统计局.《关于社会智库健康发展的若干意见》（民发〔2017〕77号）.2017年4月</w:t>
      </w:r>
      <w:r>
        <w:rPr>
          <w:lang w:eastAsia="zh-CN"/>
        </w:rPr>
        <w:t>24</w:t>
      </w:r>
      <w:r>
        <w:rPr>
          <w:rFonts w:hint="eastAsia"/>
          <w:lang w:eastAsia="zh-CN"/>
        </w:rPr>
        <w:t>日</w:t>
      </w:r>
    </w:p>
    <w:p>
      <w:pPr>
        <w:pStyle w:val="9"/>
        <w:numPr>
          <w:ilvl w:val="0"/>
          <w:numId w:val="5"/>
        </w:numPr>
        <w:tabs>
          <w:tab w:val="left" w:pos="567"/>
        </w:tabs>
        <w:spacing w:before="18"/>
        <w:ind w:left="-426" w:firstLine="426"/>
        <w:jc w:val="both"/>
        <w:rPr>
          <w:lang w:eastAsia="zh-CN"/>
        </w:rPr>
      </w:pPr>
      <w:r>
        <w:rPr>
          <w:rFonts w:hint="eastAsia"/>
          <w:lang w:eastAsia="zh-CN"/>
        </w:rPr>
        <w:t>国务院办公厅.《国务院办公厅转发文化部等部门关于做好政府向社会力量购买公共文化服务工作意见的通知》（国办发〔2015〕37号）. 2015年05月11日</w:t>
      </w:r>
    </w:p>
    <w:p>
      <w:pPr>
        <w:pStyle w:val="9"/>
        <w:numPr>
          <w:ilvl w:val="0"/>
          <w:numId w:val="5"/>
        </w:numPr>
        <w:tabs>
          <w:tab w:val="left" w:pos="567"/>
        </w:tabs>
        <w:spacing w:before="18"/>
        <w:ind w:left="-426" w:firstLine="426"/>
        <w:jc w:val="both"/>
        <w:rPr>
          <w:lang w:eastAsia="zh-CN"/>
        </w:rPr>
      </w:pPr>
      <w:r>
        <w:rPr>
          <w:rFonts w:hint="eastAsia"/>
          <w:lang w:eastAsia="zh-CN"/>
        </w:rPr>
        <w:t>环境保护部 民政部.《关于加强对环保社会组织引导发展和规范管理的指导意见》（环宣教〔2017〕35号）.</w:t>
      </w:r>
      <w:r>
        <w:rPr>
          <w:lang w:eastAsia="zh-CN"/>
        </w:rPr>
        <w:t>2017</w:t>
      </w:r>
      <w:r>
        <w:rPr>
          <w:rFonts w:hint="eastAsia"/>
          <w:lang w:eastAsia="zh-CN"/>
        </w:rPr>
        <w:t>年1月2</w:t>
      </w:r>
      <w:r>
        <w:rPr>
          <w:lang w:eastAsia="zh-CN"/>
        </w:rPr>
        <w:t>6</w:t>
      </w:r>
      <w:r>
        <w:rPr>
          <w:rFonts w:hint="eastAsia"/>
          <w:lang w:eastAsia="zh-CN"/>
        </w:rPr>
        <w:t>日</w:t>
      </w:r>
    </w:p>
    <w:p>
      <w:pPr>
        <w:pStyle w:val="9"/>
        <w:numPr>
          <w:ilvl w:val="0"/>
          <w:numId w:val="5"/>
        </w:numPr>
        <w:tabs>
          <w:tab w:val="left" w:pos="567"/>
        </w:tabs>
        <w:spacing w:before="18"/>
        <w:ind w:left="-426" w:firstLine="426"/>
        <w:jc w:val="both"/>
        <w:rPr>
          <w:lang w:eastAsia="zh-CN"/>
        </w:rPr>
      </w:pPr>
      <w:r>
        <w:rPr>
          <w:rFonts w:hint="eastAsia"/>
          <w:lang w:eastAsia="zh-CN"/>
        </w:rPr>
        <w:t>民政部办公厅.《民政部办公厅关于印发〈培育发展社区社会组织专项行动方案（2021-2023年）〉的通知》（民办发〔2020〕36号）. 2020年12月7日</w:t>
      </w:r>
    </w:p>
    <w:p>
      <w:pPr>
        <w:pStyle w:val="9"/>
        <w:numPr>
          <w:ilvl w:val="0"/>
          <w:numId w:val="5"/>
        </w:numPr>
        <w:tabs>
          <w:tab w:val="left" w:pos="567"/>
        </w:tabs>
        <w:spacing w:before="18"/>
        <w:ind w:left="-426" w:firstLine="426"/>
        <w:jc w:val="both"/>
        <w:rPr>
          <w:lang w:eastAsia="zh-CN"/>
        </w:rPr>
      </w:pPr>
      <w:r>
        <w:rPr>
          <w:rFonts w:hint="eastAsia"/>
          <w:lang w:eastAsia="zh-CN"/>
        </w:rPr>
        <w:t>MZ/T 094-2017  社会工作方法 个案工作</w:t>
      </w:r>
    </w:p>
    <w:p>
      <w:pPr>
        <w:pStyle w:val="9"/>
        <w:numPr>
          <w:ilvl w:val="0"/>
          <w:numId w:val="5"/>
        </w:numPr>
        <w:tabs>
          <w:tab w:val="left" w:pos="567"/>
        </w:tabs>
        <w:spacing w:before="18"/>
        <w:ind w:left="-426" w:firstLine="426"/>
        <w:jc w:val="both"/>
        <w:rPr>
          <w:lang w:eastAsia="zh-CN"/>
        </w:rPr>
      </w:pPr>
      <w:r>
        <w:rPr>
          <w:rFonts w:hint="eastAsia"/>
          <w:lang w:eastAsia="zh-CN"/>
        </w:rPr>
        <w:t>MZ/T 095-2017  社会工作方法 小组工作</w:t>
      </w:r>
    </w:p>
    <w:p>
      <w:pPr>
        <w:pStyle w:val="9"/>
        <w:numPr>
          <w:ilvl w:val="0"/>
          <w:numId w:val="5"/>
        </w:numPr>
        <w:tabs>
          <w:tab w:val="left" w:pos="567"/>
        </w:tabs>
        <w:spacing w:before="18"/>
        <w:ind w:left="-426" w:firstLine="426"/>
        <w:jc w:val="both"/>
        <w:rPr>
          <w:lang w:eastAsia="zh-CN"/>
        </w:rPr>
      </w:pPr>
      <w:r>
        <w:rPr>
          <w:rFonts w:hint="eastAsia"/>
          <w:lang w:eastAsia="zh-CN"/>
        </w:rPr>
        <w:t>MZ/T 071-2016  社区社会工作服务指南</w:t>
      </w:r>
    </w:p>
    <w:p>
      <w:pPr>
        <w:pStyle w:val="9"/>
        <w:ind w:left="0"/>
        <w:rPr>
          <w:lang w:eastAsia="zh-CN"/>
        </w:rPr>
      </w:pPr>
    </w:p>
    <w:p>
      <w:pPr>
        <w:pStyle w:val="9"/>
        <w:ind w:left="0"/>
        <w:rPr>
          <w:lang w:eastAsia="zh-CN"/>
        </w:rPr>
      </w:pPr>
    </w:p>
    <w:p>
      <w:pPr>
        <w:pStyle w:val="9"/>
        <w:framePr w:hSpace="181" w:vSpace="181" w:wrap="around" w:vAnchor="text" w:hAnchor="page" w:x="4455" w:y="1"/>
        <w:tabs>
          <w:tab w:val="left" w:pos="639"/>
        </w:tabs>
        <w:spacing w:before="18"/>
        <w:ind w:left="0"/>
        <w:jc w:val="both"/>
        <w:rPr>
          <w:lang w:eastAsia="zh-CN"/>
        </w:rPr>
      </w:pPr>
      <w:r>
        <w:rPr>
          <w:lang w:eastAsia="zh-CN"/>
        </w:rPr>
        <w:t>_________________________________</w:t>
      </w:r>
    </w:p>
    <w:p>
      <w:pPr>
        <w:pStyle w:val="9"/>
        <w:tabs>
          <w:tab w:val="left" w:pos="638"/>
        </w:tabs>
        <w:spacing w:before="18"/>
        <w:ind w:left="0"/>
        <w:jc w:val="both"/>
        <w:rPr>
          <w:lang w:eastAsia="zh-CN"/>
        </w:rPr>
      </w:pPr>
    </w:p>
    <w:p>
      <w:pPr>
        <w:rPr>
          <w:lang w:eastAsia="zh-CN"/>
        </w:rPr>
      </w:pPr>
    </w:p>
    <w:p>
      <w:pPr>
        <w:pStyle w:val="2"/>
        <w:ind w:left="440"/>
        <w:rPr>
          <w:lang w:eastAsia="zh-CN"/>
        </w:rPr>
      </w:pPr>
    </w:p>
    <w:p>
      <w:pPr>
        <w:rPr>
          <w:lang w:eastAsia="zh-CN"/>
        </w:rPr>
      </w:pPr>
    </w:p>
    <w:sectPr>
      <w:footerReference r:id="rId18" w:type="even"/>
      <w:pgSz w:w="11910" w:h="16840"/>
      <w:pgMar w:top="1417" w:right="1134" w:bottom="1134" w:left="1418" w:header="1418" w:footer="113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75" w:rightChars="34"/>
      <w:jc w:val="right"/>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eastAsia="zh-CN"/>
      </w:rPr>
      <w:t>I</w:t>
    </w:r>
    <w:r>
      <w:rPr>
        <w:rFonts w:ascii="宋体" w:hAnsi="宋体"/>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lang w:eastAsia="zh-CN"/>
      </w:rPr>
      <w:t>Ⅱ</w: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1"/>
        <w:lang w:eastAsia="zh-CN"/>
      </w:rPr>
    </w:pPr>
    <w:r>
      <w:rPr>
        <w:sz w:val="21"/>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wp:posOffset>
              </wp:positionV>
              <wp:extent cx="172085" cy="147955"/>
              <wp:effectExtent l="0" t="0" r="0" b="0"/>
              <wp:wrapNone/>
              <wp:docPr id="4"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2085" cy="147955"/>
                      </a:xfrm>
                      <a:prstGeom prst="rect">
                        <a:avLst/>
                      </a:prstGeom>
                      <a:noFill/>
                      <a:ln>
                        <a:noFill/>
                      </a:ln>
                      <a:effectLst/>
                    </wps:spPr>
                    <wps:txbx>
                      <w:txbxContent>
                        <w:p>
                          <w:pPr>
                            <w:pStyle w:val="15"/>
                            <w:jc w:val="right"/>
                          </w:pPr>
                          <w:r>
                            <w:rPr>
                              <w:rFonts w:hint="eastAsia" w:ascii="宋体" w:hAnsi="宋体"/>
                              <w:lang w:eastAsia="zh-CN"/>
                            </w:rPr>
                            <w:t>Ⅱ</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1pt;height:11.65pt;width:13.55pt;mso-position-horizontal:outside;mso-position-horizontal-relative:margin;mso-wrap-style:none;z-index:251660288;mso-width-relative:page;mso-height-relative:page;" filled="f" stroked="f" coordsize="21600,21600" o:gfxdata="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KiGk0gAAAAQBAAAPAAAAAAAAAAEAIAAAACIAAABkcnMvZG93bnJldi54bWxQSwECFAAUAAAA&#10;CACHTuJAWqoUf/QBAADCAwAADgAAAAAAAAABACAAAAAhAQAAZHJzL2Uyb0RvYy54bWxQSwUGAAAA&#10;AAYABgBZAQAAhwUAAAAA&#10;">
              <v:fill on="f" focussize="0,0"/>
              <v:stroke on="f"/>
              <v:imagedata o:title=""/>
              <o:lock v:ext="edit" aspectratio="f"/>
              <v:textbox inset="0mm,0mm,0mm,0mm" style="mso-fit-shape-to-text:t;">
                <w:txbxContent>
                  <w:p>
                    <w:pPr>
                      <w:pStyle w:val="15"/>
                      <w:jc w:val="right"/>
                    </w:pPr>
                    <w:r>
                      <w:rPr>
                        <w:rFonts w:hint="eastAsia" w:ascii="宋体" w:hAnsi="宋体"/>
                        <w:lang w:eastAsia="zh-CN"/>
                      </w:rPr>
                      <w:t>Ⅱ</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6pebnPAAAA&#10;BQEAAA8AAAAAAAAAAQAgAAAAIgAAAGRycy9kb3ducmV2LnhtbFBLAQIUABQAAAAIAIdO4kBsHrOS&#10;7QEAAMQDAAAOAAAAAAAAAAEAIAAAAB4BAABkcnMvZTJvRG9jLnhtbFBLBQYAAAAABgAGAFkBAAB9&#10;BQAAAAA=&#10;">
              <v:fill on="f" focussize="0,0"/>
              <v:stroke on="f"/>
              <v:imagedata o:title=""/>
              <o:lock v:ext="edit" aspectratio="f"/>
              <v:textbox inset="0mm,0mm,0mm,0mm" style="mso-fit-shape-to-text:t;">
                <w:txbxContent>
                  <w:p>
                    <w:pPr>
                      <w:pStyle w:val="15"/>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4</w:t>
                    </w:r>
                    <w:r>
                      <w:rPr>
                        <w:rFonts w:hint="eastAsia"/>
                        <w:lang w:eastAsia="zh-CN"/>
                      </w:rP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right="198"/>
      <w:jc w:val="right"/>
      <w:rPr>
        <w:rFonts w:ascii="宋体" w:hAnsi="宋体"/>
        <w:lang w:eastAsia="zh-CN"/>
      </w:rPr>
    </w:pPr>
    <w:r>
      <w:rPr>
        <w:lang w:eastAsia="zh-CN"/>
      </w:rPr>
      <mc:AlternateContent>
        <mc:Choice Requires="wps">
          <w:drawing>
            <wp:anchor distT="0" distB="0" distL="114300" distR="114300" simplePos="0" relativeHeight="251657216" behindDoc="0" locked="0" layoutInCell="1" allowOverlap="1">
              <wp:simplePos x="0" y="0"/>
              <wp:positionH relativeFrom="margin">
                <wp:posOffset>5884545</wp:posOffset>
              </wp:positionH>
              <wp:positionV relativeFrom="paragraph">
                <wp:posOffset>0</wp:posOffset>
              </wp:positionV>
              <wp:extent cx="149225" cy="133985"/>
              <wp:effectExtent l="0" t="0" r="0" b="0"/>
              <wp:wrapNone/>
              <wp:docPr id="6"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48944" cy="133788"/>
                      </a:xfrm>
                      <a:prstGeom prst="rect">
                        <a:avLst/>
                      </a:prstGeom>
                      <a:noFill/>
                      <a:ln>
                        <a:noFill/>
                      </a:ln>
                      <a:effectLst/>
                    </wps:spPr>
                    <wps:txbx>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wps:txbx>
                    <wps:bodyPr rot="0" vert="horz" wrap="square" lIns="0" tIns="0" rIns="0" bIns="0" anchor="t" anchorCtr="0" upright="1">
                      <a:noAutofit/>
                    </wps:bodyPr>
                  </wps:wsp>
                </a:graphicData>
              </a:graphic>
            </wp:anchor>
          </w:drawing>
        </mc:Choice>
        <mc:Fallback>
          <w:pict>
            <v:shape id="文本框 5" o:spid="_x0000_s1026" o:spt="202" type="#_x0000_t202" style="position:absolute;left:0pt;margin-left:463.35pt;margin-top:0pt;height:10.55pt;width:11.75pt;mso-position-horizontal-relative:margin;z-index:251657216;mso-width-relative:page;mso-height-relative:page;" filled="f" stroked="f" coordsize="21600,21600" o:gfxdata="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X3m8tYAAAAHAQAADwAAAAAAAAABACAAAAAiAAAAZHJzL2Rvd25yZXYueG1sUEsB&#10;AhQAFAAAAAgAh07iQGREKmL3AQAAxAMAAA4AAAAAAAAAAQAgAAAAJQEAAGRycy9lMm9Eb2MueG1s&#10;UEsFBgAAAAAGAAYAWQEAAI4FAAAAAA==&#10;">
              <v:fill on="f" focussize="0,0"/>
              <v:stroke on="f"/>
              <v:imagedata o:title=""/>
              <o:lock v:ext="edit" aspectratio="f"/>
              <v:textbox inset="0mm,0mm,0mm,0mm">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left="198"/>
      <w:rPr>
        <w:rFonts w:ascii="宋体" w:hAnsi="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5095" cy="114935"/>
              <wp:effectExtent l="0" t="0" r="0" b="0"/>
              <wp:wrapNone/>
              <wp:docPr id="7"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24845" cy="114722"/>
                      </a:xfrm>
                      <a:prstGeom prst="rect">
                        <a:avLst/>
                      </a:prstGeom>
                      <a:noFill/>
                      <a:ln>
                        <a:noFill/>
                      </a:ln>
                      <a:effectLst/>
                    </wps:spPr>
                    <wps:txbx>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top:0pt;height:9.05pt;width:9.85pt;mso-position-horizontal:outside;mso-position-horizontal-relative:margin;z-index:251659264;mso-width-relative:page;mso-height-relative:page;" filled="f" stroked="f" coordsize="21600,21600" o:gfxdata="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XA5XtMAAAADAQAADwAAAAAAAAABACAAAAAiAAAAZHJzL2Rvd25yZXYueG1sUEsBAhQA&#10;FAAAAAgAh07iQBRxmkj3AQAAxAMAAA4AAAAAAAAAAQAgAAAAIgEAAGRycy9lMm9Eb2MueG1sUEsF&#10;BgAAAAAGAAYAWQEAAIsFAAAAAA==&#10;">
              <v:fill on="f" focussize="0,0"/>
              <v:stroke on="f"/>
              <v:imagedata o:title=""/>
              <o:lock v:ext="edit" aspectratio="f"/>
              <v:textbox inset="0mm,0mm,0mm,0mm">
                <w:txbxContent>
                  <w:p>
                    <w:pPr>
                      <w:pStyle w:val="13"/>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rPr>
        <w:rFonts w:ascii="宋体" w:hAnsi="宋体"/>
        <w:lang w:eastAsia="zh-CN"/>
      </w:rPr>
    </w:pPr>
    <w:r>
      <w:rPr>
        <w:rFonts w:ascii="宋体" w:hAnsi="宋体"/>
        <w:lang w:eastAsia="zh-CN"/>
      </w:rPr>
      <w:t>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bookmarkStart w:id="51" w:name="_Hlk75187795"/>
    <w:r>
      <w:t>DB</w:t>
    </w:r>
    <w:r>
      <w:rPr>
        <w:rFonts w:hint="eastAsia"/>
      </w:rPr>
      <w:t>44</w:t>
    </w:r>
    <w:r>
      <w:t>/T XXX—XXXX</w:t>
    </w:r>
    <w:bookmarkEnd w:id="51"/>
  </w:p>
  <w:p>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left"/>
    </w:pPr>
    <w:r>
      <w:t>DB/T XXXXX—XXXX</w:t>
    </w:r>
  </w:p>
  <w:p>
    <w:pPr>
      <w:spacing w:line="14" w:lineRule="auto"/>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DB</w:t>
    </w:r>
    <w:r>
      <w:rPr>
        <w:rFonts w:hint="eastAsia"/>
      </w:rPr>
      <w:t>4401</w:t>
    </w:r>
    <w:r>
      <w:t xml:space="preserve">/T </w:t>
    </w:r>
    <w:r>
      <w:rPr>
        <w:rFonts w:hint="eastAsia"/>
      </w:rPr>
      <w:t>38</w:t>
    </w:r>
    <w:r>
      <w:t>—</w:t>
    </w:r>
    <w:r>
      <w:rPr>
        <w:rFonts w:hint="eastAsia"/>
      </w:rPr>
      <w:t>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DB</w:t>
    </w:r>
    <w:r>
      <w:rPr>
        <w:rFonts w:hint="eastAsia"/>
      </w:rPr>
      <w:t>44</w:t>
    </w:r>
    <w:r>
      <w:t>/T XXX—XXXX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left"/>
    </w:pPr>
    <w:r>
      <w:t>DB</w:t>
    </w:r>
    <w:r>
      <w:rPr>
        <w:rFonts w:hint="eastAsia"/>
      </w:rPr>
      <w:t>44</w:t>
    </w:r>
    <w:r>
      <w:t xml:space="preserve">/T </w:t>
    </w:r>
    <w:r>
      <w:rPr>
        <w:rFonts w:hint="eastAsia"/>
      </w:rPr>
      <w:t>XXX</w:t>
    </w:r>
    <w:r>
      <w:t>—</w:t>
    </w:r>
    <w:r>
      <w:rPr>
        <w:rFonts w:hint="eastAsia"/>
      </w:rPr>
      <w:t>XXXX</w:t>
    </w:r>
  </w:p>
  <w:p>
    <w:pPr>
      <w:spacing w:after="220" w:line="14" w:lineRule="auto"/>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t>DB</w:t>
    </w:r>
    <w:r>
      <w:rPr>
        <w:rFonts w:hint="eastAsia"/>
      </w:rPr>
      <w:t>44</w:t>
    </w:r>
    <w:r>
      <w:t>/T XXX—XXXX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left"/>
    </w:pPr>
    <w:r>
      <w:t>DB</w:t>
    </w:r>
    <w:r>
      <w:rPr>
        <w:rFonts w:hint="eastAsia"/>
      </w:rPr>
      <w:t>44</w:t>
    </w:r>
    <w:r>
      <w:t xml:space="preserve">/T </w:t>
    </w:r>
    <w:r>
      <w:rPr>
        <w:rFonts w:hint="eastAsia"/>
      </w:rPr>
      <w:t>XXX</w:t>
    </w:r>
    <w:r>
      <w:t>—</w:t>
    </w:r>
    <w:r>
      <w:rPr>
        <w:rFonts w:hint="eastAsia"/>
      </w:rPr>
      <w:t>XXXX</w:t>
    </w:r>
  </w:p>
  <w:p>
    <w:pPr>
      <w:spacing w:after="220"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4"/>
      <w:suff w:val="nothing"/>
      <w:lvlText w:val="%1　"/>
      <w:lvlJc w:val="left"/>
      <w:pPr>
        <w:ind w:left="9356" w:firstLine="0"/>
      </w:pPr>
      <w:rPr>
        <w:rFonts w:hint="eastAsia" w:ascii="黑体" w:hAnsi="Times New Roman" w:eastAsia="黑体"/>
        <w:b w:val="0"/>
        <w:i w:val="0"/>
        <w:sz w:val="21"/>
        <w:szCs w:val="21"/>
      </w:rPr>
    </w:lvl>
    <w:lvl w:ilvl="1" w:tentative="0">
      <w:start w:val="1"/>
      <w:numFmt w:val="decimal"/>
      <w:pStyle w:val="27"/>
      <w:suff w:val="nothing"/>
      <w:lvlText w:val="%1.%2　"/>
      <w:lvlJc w:val="left"/>
      <w:pPr>
        <w:ind w:left="85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0"/>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FE661A5"/>
    <w:multiLevelType w:val="multilevel"/>
    <w:tmpl w:val="4FE661A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7D3FBC"/>
    <w:multiLevelType w:val="multilevel"/>
    <w:tmpl w:val="657D3FBC"/>
    <w:lvl w:ilvl="0" w:tentative="0">
      <w:start w:val="1"/>
      <w:numFmt w:val="upperLetter"/>
      <w:pStyle w:val="67"/>
      <w:suff w:val="nothing"/>
      <w:lvlText w:val="附　录　%1"/>
      <w:lvlJc w:val="left"/>
      <w:pPr>
        <w:ind w:left="5671" w:firstLine="0"/>
      </w:pPr>
      <w:rPr>
        <w:rFonts w:hint="eastAsia" w:ascii="黑体" w:hAnsi="Times New Roman" w:eastAsia="黑体"/>
        <w:b w:val="0"/>
        <w:i w:val="0"/>
        <w:spacing w:val="0"/>
        <w:w w:val="100"/>
        <w:sz w:val="21"/>
      </w:rPr>
    </w:lvl>
    <w:lvl w:ilvl="1" w:tentative="0">
      <w:start w:val="1"/>
      <w:numFmt w:val="decimal"/>
      <w:pStyle w:val="6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pStyle w:val="5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EDA7A1A"/>
    <w:multiLevelType w:val="multilevel"/>
    <w:tmpl w:val="6EDA7A1A"/>
    <w:lvl w:ilvl="0" w:tentative="0">
      <w:start w:val="1"/>
      <w:numFmt w:val="decimal"/>
      <w:pStyle w:val="38"/>
      <w:lvlText w:val="%1"/>
      <w:lvlJc w:val="left"/>
      <w:pPr>
        <w:ind w:left="425" w:hanging="425"/>
      </w:pPr>
    </w:lvl>
    <w:lvl w:ilvl="1" w:tentative="0">
      <w:start w:val="1"/>
      <w:numFmt w:val="decimal"/>
      <w:pStyle w:val="47"/>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74040E93"/>
    <w:multiLevelType w:val="multilevel"/>
    <w:tmpl w:val="74040E93"/>
    <w:lvl w:ilvl="0" w:tentative="0">
      <w:start w:val="1"/>
      <w:numFmt w:val="lowerLetter"/>
      <w:pStyle w:val="7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0"/>
      <w:lvlText w:val="%2)"/>
      <w:lvlJc w:val="left"/>
      <w:pPr>
        <w:tabs>
          <w:tab w:val="left" w:pos="1260"/>
        </w:tabs>
        <w:ind w:left="1259" w:hanging="419"/>
      </w:pPr>
      <w:rPr>
        <w:rFonts w:hint="eastAsia"/>
      </w:rPr>
    </w:lvl>
    <w:lvl w:ilvl="2" w:tentative="0">
      <w:start w:val="1"/>
      <w:numFmt w:val="decimal"/>
      <w:pStyle w:val="6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6160"/>
  <w:evenAndOddHeaders w:val="1"/>
  <w:drawingGridHorizontalSpacing w:val="110"/>
  <w:noPunctuationKerning w:val="1"/>
  <w:characterSpacingControl w:val="doNotCompress"/>
  <w:hdrShapeDefaults>
    <o:shapelayout v:ext="edit">
      <o:idmap v:ext="edit" data="1"/>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69"/>
    <w:rsid w:val="00000880"/>
    <w:rsid w:val="000011A4"/>
    <w:rsid w:val="00001EED"/>
    <w:rsid w:val="00001FC1"/>
    <w:rsid w:val="000027F3"/>
    <w:rsid w:val="00002DA5"/>
    <w:rsid w:val="00003C68"/>
    <w:rsid w:val="00005573"/>
    <w:rsid w:val="00005794"/>
    <w:rsid w:val="00005818"/>
    <w:rsid w:val="0000697E"/>
    <w:rsid w:val="00006D86"/>
    <w:rsid w:val="00007247"/>
    <w:rsid w:val="0000728C"/>
    <w:rsid w:val="00007969"/>
    <w:rsid w:val="00007A91"/>
    <w:rsid w:val="0001093D"/>
    <w:rsid w:val="00010D4D"/>
    <w:rsid w:val="00011451"/>
    <w:rsid w:val="00013560"/>
    <w:rsid w:val="000136D3"/>
    <w:rsid w:val="000144EF"/>
    <w:rsid w:val="00015098"/>
    <w:rsid w:val="000151D9"/>
    <w:rsid w:val="000159E7"/>
    <w:rsid w:val="00016171"/>
    <w:rsid w:val="00020DBA"/>
    <w:rsid w:val="00020F4E"/>
    <w:rsid w:val="00022663"/>
    <w:rsid w:val="0002469C"/>
    <w:rsid w:val="00025197"/>
    <w:rsid w:val="000253BB"/>
    <w:rsid w:val="00025913"/>
    <w:rsid w:val="00026230"/>
    <w:rsid w:val="0002714F"/>
    <w:rsid w:val="00030178"/>
    <w:rsid w:val="000303EC"/>
    <w:rsid w:val="0003098F"/>
    <w:rsid w:val="00030998"/>
    <w:rsid w:val="000309DC"/>
    <w:rsid w:val="00030DBB"/>
    <w:rsid w:val="00031135"/>
    <w:rsid w:val="000312D1"/>
    <w:rsid w:val="00033D44"/>
    <w:rsid w:val="000345CC"/>
    <w:rsid w:val="000378FD"/>
    <w:rsid w:val="000379F2"/>
    <w:rsid w:val="000421A4"/>
    <w:rsid w:val="00042E95"/>
    <w:rsid w:val="000434A7"/>
    <w:rsid w:val="00044FDC"/>
    <w:rsid w:val="00047DBC"/>
    <w:rsid w:val="00050915"/>
    <w:rsid w:val="00052383"/>
    <w:rsid w:val="00052553"/>
    <w:rsid w:val="00052AB5"/>
    <w:rsid w:val="00052C31"/>
    <w:rsid w:val="00052F32"/>
    <w:rsid w:val="000539B7"/>
    <w:rsid w:val="00053BDA"/>
    <w:rsid w:val="0005486F"/>
    <w:rsid w:val="00054A71"/>
    <w:rsid w:val="0005606C"/>
    <w:rsid w:val="00057A3A"/>
    <w:rsid w:val="00057DFA"/>
    <w:rsid w:val="00061061"/>
    <w:rsid w:val="00062B10"/>
    <w:rsid w:val="000655BA"/>
    <w:rsid w:val="000659A1"/>
    <w:rsid w:val="00065CF0"/>
    <w:rsid w:val="000667B7"/>
    <w:rsid w:val="00066A53"/>
    <w:rsid w:val="00066EDD"/>
    <w:rsid w:val="000676E2"/>
    <w:rsid w:val="0007191A"/>
    <w:rsid w:val="00071AE7"/>
    <w:rsid w:val="000739AC"/>
    <w:rsid w:val="00075C23"/>
    <w:rsid w:val="00076711"/>
    <w:rsid w:val="00080683"/>
    <w:rsid w:val="00081FC5"/>
    <w:rsid w:val="0008306D"/>
    <w:rsid w:val="00085179"/>
    <w:rsid w:val="000857EB"/>
    <w:rsid w:val="00086509"/>
    <w:rsid w:val="000879CA"/>
    <w:rsid w:val="000912DC"/>
    <w:rsid w:val="000914F4"/>
    <w:rsid w:val="0009293C"/>
    <w:rsid w:val="0009304B"/>
    <w:rsid w:val="0009405A"/>
    <w:rsid w:val="000942C1"/>
    <w:rsid w:val="00094E69"/>
    <w:rsid w:val="00094F0F"/>
    <w:rsid w:val="00095036"/>
    <w:rsid w:val="000950D6"/>
    <w:rsid w:val="00097733"/>
    <w:rsid w:val="00097C38"/>
    <w:rsid w:val="000A073E"/>
    <w:rsid w:val="000A1FC8"/>
    <w:rsid w:val="000A4550"/>
    <w:rsid w:val="000A5654"/>
    <w:rsid w:val="000A576D"/>
    <w:rsid w:val="000A584B"/>
    <w:rsid w:val="000A5FA2"/>
    <w:rsid w:val="000A6DB1"/>
    <w:rsid w:val="000B1FEC"/>
    <w:rsid w:val="000B27D4"/>
    <w:rsid w:val="000B283F"/>
    <w:rsid w:val="000B2FCE"/>
    <w:rsid w:val="000B31DE"/>
    <w:rsid w:val="000B3689"/>
    <w:rsid w:val="000B454D"/>
    <w:rsid w:val="000B73C1"/>
    <w:rsid w:val="000B7817"/>
    <w:rsid w:val="000B7B0E"/>
    <w:rsid w:val="000C087C"/>
    <w:rsid w:val="000C0F8F"/>
    <w:rsid w:val="000C1F1B"/>
    <w:rsid w:val="000C3E9B"/>
    <w:rsid w:val="000C4284"/>
    <w:rsid w:val="000C4C56"/>
    <w:rsid w:val="000C533A"/>
    <w:rsid w:val="000D13FC"/>
    <w:rsid w:val="000D2B78"/>
    <w:rsid w:val="000D3689"/>
    <w:rsid w:val="000D3718"/>
    <w:rsid w:val="000D37A1"/>
    <w:rsid w:val="000D5002"/>
    <w:rsid w:val="000D5236"/>
    <w:rsid w:val="000E0CD3"/>
    <w:rsid w:val="000E282E"/>
    <w:rsid w:val="000F0510"/>
    <w:rsid w:val="000F3796"/>
    <w:rsid w:val="000F38AD"/>
    <w:rsid w:val="000F3B28"/>
    <w:rsid w:val="000F407D"/>
    <w:rsid w:val="000F4233"/>
    <w:rsid w:val="000F569B"/>
    <w:rsid w:val="000F5D6D"/>
    <w:rsid w:val="000F5DBF"/>
    <w:rsid w:val="000F6FD8"/>
    <w:rsid w:val="000F7152"/>
    <w:rsid w:val="000F7A01"/>
    <w:rsid w:val="0010069F"/>
    <w:rsid w:val="00100966"/>
    <w:rsid w:val="00102143"/>
    <w:rsid w:val="00102507"/>
    <w:rsid w:val="00102947"/>
    <w:rsid w:val="001034E9"/>
    <w:rsid w:val="001042E3"/>
    <w:rsid w:val="001064D1"/>
    <w:rsid w:val="00106623"/>
    <w:rsid w:val="001073CD"/>
    <w:rsid w:val="001073E9"/>
    <w:rsid w:val="001074A6"/>
    <w:rsid w:val="001077E0"/>
    <w:rsid w:val="00111562"/>
    <w:rsid w:val="00111789"/>
    <w:rsid w:val="00112FF7"/>
    <w:rsid w:val="00114CF4"/>
    <w:rsid w:val="00117ED6"/>
    <w:rsid w:val="00121C5E"/>
    <w:rsid w:val="00123F28"/>
    <w:rsid w:val="00124045"/>
    <w:rsid w:val="001241E2"/>
    <w:rsid w:val="00124569"/>
    <w:rsid w:val="001258A3"/>
    <w:rsid w:val="00125CF4"/>
    <w:rsid w:val="00125E9E"/>
    <w:rsid w:val="00130195"/>
    <w:rsid w:val="00130623"/>
    <w:rsid w:val="00130992"/>
    <w:rsid w:val="001319B7"/>
    <w:rsid w:val="00131A65"/>
    <w:rsid w:val="001329E4"/>
    <w:rsid w:val="00132F9F"/>
    <w:rsid w:val="001339FB"/>
    <w:rsid w:val="00133BCC"/>
    <w:rsid w:val="001350A3"/>
    <w:rsid w:val="0013560E"/>
    <w:rsid w:val="00137795"/>
    <w:rsid w:val="001377D6"/>
    <w:rsid w:val="00140BBB"/>
    <w:rsid w:val="00140F1A"/>
    <w:rsid w:val="00141364"/>
    <w:rsid w:val="00141950"/>
    <w:rsid w:val="001437D2"/>
    <w:rsid w:val="00143FC3"/>
    <w:rsid w:val="00145374"/>
    <w:rsid w:val="001464E2"/>
    <w:rsid w:val="00146534"/>
    <w:rsid w:val="0014759D"/>
    <w:rsid w:val="001513D2"/>
    <w:rsid w:val="001518D7"/>
    <w:rsid w:val="00151BFD"/>
    <w:rsid w:val="0015220E"/>
    <w:rsid w:val="00153288"/>
    <w:rsid w:val="001535C8"/>
    <w:rsid w:val="001539AC"/>
    <w:rsid w:val="001549FC"/>
    <w:rsid w:val="00155274"/>
    <w:rsid w:val="001554F9"/>
    <w:rsid w:val="00155D51"/>
    <w:rsid w:val="00155FBE"/>
    <w:rsid w:val="001569DC"/>
    <w:rsid w:val="00156C59"/>
    <w:rsid w:val="00157498"/>
    <w:rsid w:val="0015757E"/>
    <w:rsid w:val="00160351"/>
    <w:rsid w:val="0016068F"/>
    <w:rsid w:val="00160BC1"/>
    <w:rsid w:val="001615DF"/>
    <w:rsid w:val="001621C9"/>
    <w:rsid w:val="00163646"/>
    <w:rsid w:val="001644C0"/>
    <w:rsid w:val="00165810"/>
    <w:rsid w:val="00165CBD"/>
    <w:rsid w:val="00166920"/>
    <w:rsid w:val="00166A79"/>
    <w:rsid w:val="00167E64"/>
    <w:rsid w:val="00170578"/>
    <w:rsid w:val="001708F0"/>
    <w:rsid w:val="00171B29"/>
    <w:rsid w:val="00172F0C"/>
    <w:rsid w:val="00172F35"/>
    <w:rsid w:val="001736D2"/>
    <w:rsid w:val="00173BB4"/>
    <w:rsid w:val="00173C14"/>
    <w:rsid w:val="00174B90"/>
    <w:rsid w:val="00174CF1"/>
    <w:rsid w:val="00176214"/>
    <w:rsid w:val="00176485"/>
    <w:rsid w:val="00176D55"/>
    <w:rsid w:val="001800A7"/>
    <w:rsid w:val="0018391F"/>
    <w:rsid w:val="001851CA"/>
    <w:rsid w:val="001868ED"/>
    <w:rsid w:val="00186F9F"/>
    <w:rsid w:val="00187E01"/>
    <w:rsid w:val="00190668"/>
    <w:rsid w:val="0019154C"/>
    <w:rsid w:val="00191C73"/>
    <w:rsid w:val="00191DD9"/>
    <w:rsid w:val="00191E3C"/>
    <w:rsid w:val="00191ECE"/>
    <w:rsid w:val="001921F9"/>
    <w:rsid w:val="001940CD"/>
    <w:rsid w:val="0019459D"/>
    <w:rsid w:val="001956C3"/>
    <w:rsid w:val="001959C1"/>
    <w:rsid w:val="00196C03"/>
    <w:rsid w:val="001971B3"/>
    <w:rsid w:val="0019765C"/>
    <w:rsid w:val="001A01FB"/>
    <w:rsid w:val="001A06E6"/>
    <w:rsid w:val="001A09B1"/>
    <w:rsid w:val="001A0CA1"/>
    <w:rsid w:val="001A191E"/>
    <w:rsid w:val="001A19F9"/>
    <w:rsid w:val="001A29FE"/>
    <w:rsid w:val="001A2D16"/>
    <w:rsid w:val="001A3335"/>
    <w:rsid w:val="001A39ED"/>
    <w:rsid w:val="001A40D7"/>
    <w:rsid w:val="001A44BB"/>
    <w:rsid w:val="001A4F9C"/>
    <w:rsid w:val="001A624C"/>
    <w:rsid w:val="001B0260"/>
    <w:rsid w:val="001B0B79"/>
    <w:rsid w:val="001B1233"/>
    <w:rsid w:val="001B1882"/>
    <w:rsid w:val="001B197B"/>
    <w:rsid w:val="001B1EFF"/>
    <w:rsid w:val="001B344D"/>
    <w:rsid w:val="001B4977"/>
    <w:rsid w:val="001B4F9D"/>
    <w:rsid w:val="001B5378"/>
    <w:rsid w:val="001B5BD8"/>
    <w:rsid w:val="001B66B5"/>
    <w:rsid w:val="001C1900"/>
    <w:rsid w:val="001C3970"/>
    <w:rsid w:val="001C3DFF"/>
    <w:rsid w:val="001C4402"/>
    <w:rsid w:val="001C4636"/>
    <w:rsid w:val="001C482A"/>
    <w:rsid w:val="001C4C61"/>
    <w:rsid w:val="001C6691"/>
    <w:rsid w:val="001D0951"/>
    <w:rsid w:val="001D0AAE"/>
    <w:rsid w:val="001D10B8"/>
    <w:rsid w:val="001D2338"/>
    <w:rsid w:val="001D42D8"/>
    <w:rsid w:val="001D44CD"/>
    <w:rsid w:val="001D544A"/>
    <w:rsid w:val="001D7D9C"/>
    <w:rsid w:val="001E057C"/>
    <w:rsid w:val="001E1F84"/>
    <w:rsid w:val="001E21C9"/>
    <w:rsid w:val="001E3006"/>
    <w:rsid w:val="001E335B"/>
    <w:rsid w:val="001E3585"/>
    <w:rsid w:val="001E458B"/>
    <w:rsid w:val="001E6921"/>
    <w:rsid w:val="001E6B5C"/>
    <w:rsid w:val="001E6B60"/>
    <w:rsid w:val="001E6B96"/>
    <w:rsid w:val="001E6D5A"/>
    <w:rsid w:val="001E779F"/>
    <w:rsid w:val="001F09D7"/>
    <w:rsid w:val="001F0AFB"/>
    <w:rsid w:val="001F0B83"/>
    <w:rsid w:val="001F0FC6"/>
    <w:rsid w:val="001F1799"/>
    <w:rsid w:val="001F244B"/>
    <w:rsid w:val="001F45A6"/>
    <w:rsid w:val="001F4F50"/>
    <w:rsid w:val="001F6581"/>
    <w:rsid w:val="001F7336"/>
    <w:rsid w:val="00200048"/>
    <w:rsid w:val="00200729"/>
    <w:rsid w:val="00200D56"/>
    <w:rsid w:val="002017AB"/>
    <w:rsid w:val="00201963"/>
    <w:rsid w:val="0020431C"/>
    <w:rsid w:val="00204AA1"/>
    <w:rsid w:val="0020658B"/>
    <w:rsid w:val="00206FC0"/>
    <w:rsid w:val="00211B74"/>
    <w:rsid w:val="00211C0B"/>
    <w:rsid w:val="00212CE7"/>
    <w:rsid w:val="0021301E"/>
    <w:rsid w:val="002130A9"/>
    <w:rsid w:val="0021328F"/>
    <w:rsid w:val="00213C6E"/>
    <w:rsid w:val="002150E5"/>
    <w:rsid w:val="002157BE"/>
    <w:rsid w:val="002164CF"/>
    <w:rsid w:val="00216AF5"/>
    <w:rsid w:val="00217559"/>
    <w:rsid w:val="00217EAE"/>
    <w:rsid w:val="002208CB"/>
    <w:rsid w:val="00221C5F"/>
    <w:rsid w:val="00222AFD"/>
    <w:rsid w:val="0022304F"/>
    <w:rsid w:val="002230A9"/>
    <w:rsid w:val="0022395F"/>
    <w:rsid w:val="002239A5"/>
    <w:rsid w:val="00223DD0"/>
    <w:rsid w:val="00223F76"/>
    <w:rsid w:val="00226CEC"/>
    <w:rsid w:val="00226EF6"/>
    <w:rsid w:val="00227445"/>
    <w:rsid w:val="002278B9"/>
    <w:rsid w:val="00227B85"/>
    <w:rsid w:val="002302DE"/>
    <w:rsid w:val="0023076B"/>
    <w:rsid w:val="002307E5"/>
    <w:rsid w:val="00231FCB"/>
    <w:rsid w:val="00233A11"/>
    <w:rsid w:val="00233E61"/>
    <w:rsid w:val="002344C0"/>
    <w:rsid w:val="00234AD0"/>
    <w:rsid w:val="00234D8B"/>
    <w:rsid w:val="002350B9"/>
    <w:rsid w:val="002377BD"/>
    <w:rsid w:val="00240EA8"/>
    <w:rsid w:val="00244E73"/>
    <w:rsid w:val="00245E81"/>
    <w:rsid w:val="00247EE9"/>
    <w:rsid w:val="00247FEA"/>
    <w:rsid w:val="00251C8B"/>
    <w:rsid w:val="002525F3"/>
    <w:rsid w:val="00252A9E"/>
    <w:rsid w:val="00253139"/>
    <w:rsid w:val="00254AE3"/>
    <w:rsid w:val="00255F8B"/>
    <w:rsid w:val="00256775"/>
    <w:rsid w:val="0025693E"/>
    <w:rsid w:val="00257314"/>
    <w:rsid w:val="002573E2"/>
    <w:rsid w:val="002608A8"/>
    <w:rsid w:val="00260A8D"/>
    <w:rsid w:val="00260D32"/>
    <w:rsid w:val="00262048"/>
    <w:rsid w:val="00262702"/>
    <w:rsid w:val="00262DB3"/>
    <w:rsid w:val="00263161"/>
    <w:rsid w:val="00265442"/>
    <w:rsid w:val="00265E8A"/>
    <w:rsid w:val="00267675"/>
    <w:rsid w:val="00267D30"/>
    <w:rsid w:val="0027099B"/>
    <w:rsid w:val="0027211A"/>
    <w:rsid w:val="00275229"/>
    <w:rsid w:val="002752AF"/>
    <w:rsid w:val="00276566"/>
    <w:rsid w:val="00276FC5"/>
    <w:rsid w:val="00280994"/>
    <w:rsid w:val="00280B92"/>
    <w:rsid w:val="002811BF"/>
    <w:rsid w:val="002826AC"/>
    <w:rsid w:val="00282AED"/>
    <w:rsid w:val="0028317B"/>
    <w:rsid w:val="002831B6"/>
    <w:rsid w:val="0028572B"/>
    <w:rsid w:val="002861F9"/>
    <w:rsid w:val="0028659F"/>
    <w:rsid w:val="00286883"/>
    <w:rsid w:val="00286C57"/>
    <w:rsid w:val="00292D6D"/>
    <w:rsid w:val="00294208"/>
    <w:rsid w:val="0029425B"/>
    <w:rsid w:val="002958B1"/>
    <w:rsid w:val="00295DB9"/>
    <w:rsid w:val="002978AD"/>
    <w:rsid w:val="002A074D"/>
    <w:rsid w:val="002A0750"/>
    <w:rsid w:val="002A0CA8"/>
    <w:rsid w:val="002A1316"/>
    <w:rsid w:val="002A1F33"/>
    <w:rsid w:val="002A2067"/>
    <w:rsid w:val="002A2F6A"/>
    <w:rsid w:val="002A2FC9"/>
    <w:rsid w:val="002A3143"/>
    <w:rsid w:val="002A4C41"/>
    <w:rsid w:val="002A6405"/>
    <w:rsid w:val="002A66EF"/>
    <w:rsid w:val="002A699F"/>
    <w:rsid w:val="002B0594"/>
    <w:rsid w:val="002B0B23"/>
    <w:rsid w:val="002B1661"/>
    <w:rsid w:val="002B17C3"/>
    <w:rsid w:val="002B1ADD"/>
    <w:rsid w:val="002B37AE"/>
    <w:rsid w:val="002B39C4"/>
    <w:rsid w:val="002B43A7"/>
    <w:rsid w:val="002B5FAB"/>
    <w:rsid w:val="002B70E5"/>
    <w:rsid w:val="002B7160"/>
    <w:rsid w:val="002B75D5"/>
    <w:rsid w:val="002B7901"/>
    <w:rsid w:val="002B796C"/>
    <w:rsid w:val="002C0FEC"/>
    <w:rsid w:val="002C1D0F"/>
    <w:rsid w:val="002C2744"/>
    <w:rsid w:val="002C27BC"/>
    <w:rsid w:val="002C330C"/>
    <w:rsid w:val="002C426F"/>
    <w:rsid w:val="002C47F5"/>
    <w:rsid w:val="002C5333"/>
    <w:rsid w:val="002C75CF"/>
    <w:rsid w:val="002C763F"/>
    <w:rsid w:val="002C7B5C"/>
    <w:rsid w:val="002D08D2"/>
    <w:rsid w:val="002D0B0B"/>
    <w:rsid w:val="002D12AA"/>
    <w:rsid w:val="002D1E8F"/>
    <w:rsid w:val="002D20E7"/>
    <w:rsid w:val="002D2236"/>
    <w:rsid w:val="002D2901"/>
    <w:rsid w:val="002D2EF3"/>
    <w:rsid w:val="002D3065"/>
    <w:rsid w:val="002D435A"/>
    <w:rsid w:val="002D4C4D"/>
    <w:rsid w:val="002D4CB4"/>
    <w:rsid w:val="002D5753"/>
    <w:rsid w:val="002D5768"/>
    <w:rsid w:val="002D5E82"/>
    <w:rsid w:val="002D5EBE"/>
    <w:rsid w:val="002D6472"/>
    <w:rsid w:val="002D676F"/>
    <w:rsid w:val="002D749F"/>
    <w:rsid w:val="002D7A3A"/>
    <w:rsid w:val="002E005C"/>
    <w:rsid w:val="002E1189"/>
    <w:rsid w:val="002E12EA"/>
    <w:rsid w:val="002E17CB"/>
    <w:rsid w:val="002E1F37"/>
    <w:rsid w:val="002E210C"/>
    <w:rsid w:val="002E21DA"/>
    <w:rsid w:val="002E23EF"/>
    <w:rsid w:val="002E25CB"/>
    <w:rsid w:val="002E3062"/>
    <w:rsid w:val="002E3AD9"/>
    <w:rsid w:val="002E4476"/>
    <w:rsid w:val="002E4707"/>
    <w:rsid w:val="002E4CFF"/>
    <w:rsid w:val="002E4DB3"/>
    <w:rsid w:val="002E57C4"/>
    <w:rsid w:val="002E6CBB"/>
    <w:rsid w:val="002E6D95"/>
    <w:rsid w:val="002E6DB9"/>
    <w:rsid w:val="002E746C"/>
    <w:rsid w:val="002F023E"/>
    <w:rsid w:val="002F2C77"/>
    <w:rsid w:val="002F2EFE"/>
    <w:rsid w:val="002F304C"/>
    <w:rsid w:val="002F3935"/>
    <w:rsid w:val="002F559C"/>
    <w:rsid w:val="002F6410"/>
    <w:rsid w:val="002F7EB4"/>
    <w:rsid w:val="00301B13"/>
    <w:rsid w:val="00302A63"/>
    <w:rsid w:val="00302D5E"/>
    <w:rsid w:val="003032D2"/>
    <w:rsid w:val="003044FE"/>
    <w:rsid w:val="0030550D"/>
    <w:rsid w:val="0031080E"/>
    <w:rsid w:val="003109AD"/>
    <w:rsid w:val="003115F6"/>
    <w:rsid w:val="0031182B"/>
    <w:rsid w:val="003133C8"/>
    <w:rsid w:val="003143C8"/>
    <w:rsid w:val="00314619"/>
    <w:rsid w:val="00314D61"/>
    <w:rsid w:val="003167F4"/>
    <w:rsid w:val="00316AB2"/>
    <w:rsid w:val="003171C7"/>
    <w:rsid w:val="00317799"/>
    <w:rsid w:val="0032014E"/>
    <w:rsid w:val="003202CD"/>
    <w:rsid w:val="00321E69"/>
    <w:rsid w:val="00321FFE"/>
    <w:rsid w:val="00322720"/>
    <w:rsid w:val="00322833"/>
    <w:rsid w:val="003234A6"/>
    <w:rsid w:val="003235F2"/>
    <w:rsid w:val="00324FB1"/>
    <w:rsid w:val="003254DB"/>
    <w:rsid w:val="0032689C"/>
    <w:rsid w:val="003269CC"/>
    <w:rsid w:val="00326F2C"/>
    <w:rsid w:val="00330232"/>
    <w:rsid w:val="00330CE2"/>
    <w:rsid w:val="0033148F"/>
    <w:rsid w:val="00333A4C"/>
    <w:rsid w:val="00334B4E"/>
    <w:rsid w:val="00334D49"/>
    <w:rsid w:val="00336819"/>
    <w:rsid w:val="00336D0F"/>
    <w:rsid w:val="003373C9"/>
    <w:rsid w:val="00337681"/>
    <w:rsid w:val="00337748"/>
    <w:rsid w:val="00337A41"/>
    <w:rsid w:val="0034069C"/>
    <w:rsid w:val="00340FD5"/>
    <w:rsid w:val="003416DB"/>
    <w:rsid w:val="00341FC4"/>
    <w:rsid w:val="003420ED"/>
    <w:rsid w:val="003426AE"/>
    <w:rsid w:val="00342B37"/>
    <w:rsid w:val="00342CDB"/>
    <w:rsid w:val="0034303D"/>
    <w:rsid w:val="00343ED6"/>
    <w:rsid w:val="003459BE"/>
    <w:rsid w:val="00346E1E"/>
    <w:rsid w:val="003470C5"/>
    <w:rsid w:val="003477DB"/>
    <w:rsid w:val="00350049"/>
    <w:rsid w:val="003504AD"/>
    <w:rsid w:val="0035150A"/>
    <w:rsid w:val="0035151F"/>
    <w:rsid w:val="00351818"/>
    <w:rsid w:val="00351C9D"/>
    <w:rsid w:val="0035314A"/>
    <w:rsid w:val="003535B3"/>
    <w:rsid w:val="0035372D"/>
    <w:rsid w:val="00353E40"/>
    <w:rsid w:val="00355FC6"/>
    <w:rsid w:val="00356BB9"/>
    <w:rsid w:val="0036065B"/>
    <w:rsid w:val="00360775"/>
    <w:rsid w:val="00360CF0"/>
    <w:rsid w:val="003614AF"/>
    <w:rsid w:val="00361812"/>
    <w:rsid w:val="00367450"/>
    <w:rsid w:val="0036771B"/>
    <w:rsid w:val="00370DB6"/>
    <w:rsid w:val="00370E9D"/>
    <w:rsid w:val="00371624"/>
    <w:rsid w:val="0037309C"/>
    <w:rsid w:val="003731DE"/>
    <w:rsid w:val="003739ED"/>
    <w:rsid w:val="00373FD0"/>
    <w:rsid w:val="00374069"/>
    <w:rsid w:val="00374431"/>
    <w:rsid w:val="0037527B"/>
    <w:rsid w:val="0037561B"/>
    <w:rsid w:val="0037596A"/>
    <w:rsid w:val="003768AF"/>
    <w:rsid w:val="00380730"/>
    <w:rsid w:val="00380B87"/>
    <w:rsid w:val="00381FA3"/>
    <w:rsid w:val="00385468"/>
    <w:rsid w:val="00385E75"/>
    <w:rsid w:val="00386510"/>
    <w:rsid w:val="003901EC"/>
    <w:rsid w:val="003920F7"/>
    <w:rsid w:val="00392172"/>
    <w:rsid w:val="00392A92"/>
    <w:rsid w:val="0039473E"/>
    <w:rsid w:val="0039498F"/>
    <w:rsid w:val="00395649"/>
    <w:rsid w:val="00395F25"/>
    <w:rsid w:val="00396571"/>
    <w:rsid w:val="00396E82"/>
    <w:rsid w:val="00397F3A"/>
    <w:rsid w:val="003A0658"/>
    <w:rsid w:val="003A0F6E"/>
    <w:rsid w:val="003A12F4"/>
    <w:rsid w:val="003A1436"/>
    <w:rsid w:val="003A1518"/>
    <w:rsid w:val="003A1A73"/>
    <w:rsid w:val="003A21B4"/>
    <w:rsid w:val="003A2204"/>
    <w:rsid w:val="003A2459"/>
    <w:rsid w:val="003A2CAB"/>
    <w:rsid w:val="003A338A"/>
    <w:rsid w:val="003A4BCE"/>
    <w:rsid w:val="003A5F30"/>
    <w:rsid w:val="003A6C6B"/>
    <w:rsid w:val="003A6D46"/>
    <w:rsid w:val="003A70B4"/>
    <w:rsid w:val="003A77D9"/>
    <w:rsid w:val="003A789F"/>
    <w:rsid w:val="003A7CA6"/>
    <w:rsid w:val="003B22A8"/>
    <w:rsid w:val="003B2623"/>
    <w:rsid w:val="003B38DD"/>
    <w:rsid w:val="003B3D0B"/>
    <w:rsid w:val="003B3F27"/>
    <w:rsid w:val="003B4433"/>
    <w:rsid w:val="003B44B0"/>
    <w:rsid w:val="003B4B6B"/>
    <w:rsid w:val="003B4C10"/>
    <w:rsid w:val="003B5490"/>
    <w:rsid w:val="003B63F7"/>
    <w:rsid w:val="003B6A3A"/>
    <w:rsid w:val="003B6DFB"/>
    <w:rsid w:val="003B7142"/>
    <w:rsid w:val="003C0A01"/>
    <w:rsid w:val="003C0B71"/>
    <w:rsid w:val="003C0D25"/>
    <w:rsid w:val="003C29E6"/>
    <w:rsid w:val="003C2A51"/>
    <w:rsid w:val="003C2FC7"/>
    <w:rsid w:val="003C31CF"/>
    <w:rsid w:val="003C4568"/>
    <w:rsid w:val="003C4B3B"/>
    <w:rsid w:val="003C5410"/>
    <w:rsid w:val="003C6464"/>
    <w:rsid w:val="003C677A"/>
    <w:rsid w:val="003D07D2"/>
    <w:rsid w:val="003D0DE2"/>
    <w:rsid w:val="003D1640"/>
    <w:rsid w:val="003D1A4C"/>
    <w:rsid w:val="003D1ABE"/>
    <w:rsid w:val="003D2064"/>
    <w:rsid w:val="003D2747"/>
    <w:rsid w:val="003D279E"/>
    <w:rsid w:val="003D280A"/>
    <w:rsid w:val="003D33DA"/>
    <w:rsid w:val="003D35BA"/>
    <w:rsid w:val="003D5F04"/>
    <w:rsid w:val="003D6968"/>
    <w:rsid w:val="003D731D"/>
    <w:rsid w:val="003D75BE"/>
    <w:rsid w:val="003E0E64"/>
    <w:rsid w:val="003E1203"/>
    <w:rsid w:val="003E368F"/>
    <w:rsid w:val="003E498B"/>
    <w:rsid w:val="003E4A0A"/>
    <w:rsid w:val="003E5326"/>
    <w:rsid w:val="003E5AFF"/>
    <w:rsid w:val="003E5D48"/>
    <w:rsid w:val="003E64F6"/>
    <w:rsid w:val="003E6B10"/>
    <w:rsid w:val="003E7C14"/>
    <w:rsid w:val="003F237E"/>
    <w:rsid w:val="003F23D8"/>
    <w:rsid w:val="003F3430"/>
    <w:rsid w:val="003F53BF"/>
    <w:rsid w:val="003F57FA"/>
    <w:rsid w:val="003F7652"/>
    <w:rsid w:val="003F790C"/>
    <w:rsid w:val="003F7C35"/>
    <w:rsid w:val="00400036"/>
    <w:rsid w:val="004014CC"/>
    <w:rsid w:val="00401C0E"/>
    <w:rsid w:val="00401EAE"/>
    <w:rsid w:val="004031A9"/>
    <w:rsid w:val="00403858"/>
    <w:rsid w:val="00404AF8"/>
    <w:rsid w:val="0040508F"/>
    <w:rsid w:val="004055CC"/>
    <w:rsid w:val="0040722C"/>
    <w:rsid w:val="004076C4"/>
    <w:rsid w:val="00411AA1"/>
    <w:rsid w:val="004133BC"/>
    <w:rsid w:val="00413613"/>
    <w:rsid w:val="00413994"/>
    <w:rsid w:val="00414893"/>
    <w:rsid w:val="00414A77"/>
    <w:rsid w:val="004153AA"/>
    <w:rsid w:val="004204A0"/>
    <w:rsid w:val="0042096F"/>
    <w:rsid w:val="00421240"/>
    <w:rsid w:val="00421367"/>
    <w:rsid w:val="004225ED"/>
    <w:rsid w:val="00422FB7"/>
    <w:rsid w:val="004230F9"/>
    <w:rsid w:val="00423E9D"/>
    <w:rsid w:val="00424C1D"/>
    <w:rsid w:val="00431DA9"/>
    <w:rsid w:val="00431EB7"/>
    <w:rsid w:val="004320EC"/>
    <w:rsid w:val="0043233F"/>
    <w:rsid w:val="0043356B"/>
    <w:rsid w:val="00433A8C"/>
    <w:rsid w:val="0043478F"/>
    <w:rsid w:val="004348EB"/>
    <w:rsid w:val="00434A05"/>
    <w:rsid w:val="004350B7"/>
    <w:rsid w:val="00435942"/>
    <w:rsid w:val="004368F7"/>
    <w:rsid w:val="00436EE5"/>
    <w:rsid w:val="00436FBC"/>
    <w:rsid w:val="00437AC1"/>
    <w:rsid w:val="004408FB"/>
    <w:rsid w:val="00441C73"/>
    <w:rsid w:val="00443967"/>
    <w:rsid w:val="00443ABB"/>
    <w:rsid w:val="004446A6"/>
    <w:rsid w:val="00444B4D"/>
    <w:rsid w:val="00445436"/>
    <w:rsid w:val="00445853"/>
    <w:rsid w:val="00445F3D"/>
    <w:rsid w:val="004460A8"/>
    <w:rsid w:val="00447C35"/>
    <w:rsid w:val="004504B1"/>
    <w:rsid w:val="004519E8"/>
    <w:rsid w:val="00451D67"/>
    <w:rsid w:val="004522CA"/>
    <w:rsid w:val="004528AF"/>
    <w:rsid w:val="0045370C"/>
    <w:rsid w:val="00453E4C"/>
    <w:rsid w:val="004568F2"/>
    <w:rsid w:val="0045795B"/>
    <w:rsid w:val="00457B29"/>
    <w:rsid w:val="00457D17"/>
    <w:rsid w:val="004604B4"/>
    <w:rsid w:val="00460F5A"/>
    <w:rsid w:val="00461117"/>
    <w:rsid w:val="00461328"/>
    <w:rsid w:val="00461C77"/>
    <w:rsid w:val="00461F93"/>
    <w:rsid w:val="00463AF2"/>
    <w:rsid w:val="004647FE"/>
    <w:rsid w:val="00465B81"/>
    <w:rsid w:val="00466F65"/>
    <w:rsid w:val="00466FB7"/>
    <w:rsid w:val="00470783"/>
    <w:rsid w:val="0047212B"/>
    <w:rsid w:val="0047246C"/>
    <w:rsid w:val="0047384F"/>
    <w:rsid w:val="00475F0D"/>
    <w:rsid w:val="00476071"/>
    <w:rsid w:val="0047708D"/>
    <w:rsid w:val="00477F0D"/>
    <w:rsid w:val="0048073B"/>
    <w:rsid w:val="00481004"/>
    <w:rsid w:val="0048100C"/>
    <w:rsid w:val="00481BBC"/>
    <w:rsid w:val="004826A9"/>
    <w:rsid w:val="00483158"/>
    <w:rsid w:val="00484BD5"/>
    <w:rsid w:val="00484EF2"/>
    <w:rsid w:val="004852CC"/>
    <w:rsid w:val="00485632"/>
    <w:rsid w:val="0048781D"/>
    <w:rsid w:val="00487974"/>
    <w:rsid w:val="004910BF"/>
    <w:rsid w:val="00491EF4"/>
    <w:rsid w:val="0049369D"/>
    <w:rsid w:val="004944FC"/>
    <w:rsid w:val="00494562"/>
    <w:rsid w:val="00494D3A"/>
    <w:rsid w:val="00494F05"/>
    <w:rsid w:val="00495967"/>
    <w:rsid w:val="00497FE3"/>
    <w:rsid w:val="004A002D"/>
    <w:rsid w:val="004A0AB9"/>
    <w:rsid w:val="004A0B0E"/>
    <w:rsid w:val="004A0DBA"/>
    <w:rsid w:val="004A12B1"/>
    <w:rsid w:val="004A2BD1"/>
    <w:rsid w:val="004A6968"/>
    <w:rsid w:val="004A7719"/>
    <w:rsid w:val="004B02F4"/>
    <w:rsid w:val="004B18FE"/>
    <w:rsid w:val="004B1EFB"/>
    <w:rsid w:val="004B1FE2"/>
    <w:rsid w:val="004B2557"/>
    <w:rsid w:val="004B29E3"/>
    <w:rsid w:val="004B3155"/>
    <w:rsid w:val="004B3B4E"/>
    <w:rsid w:val="004B464F"/>
    <w:rsid w:val="004B4861"/>
    <w:rsid w:val="004B4BC8"/>
    <w:rsid w:val="004B5A60"/>
    <w:rsid w:val="004B6152"/>
    <w:rsid w:val="004B737F"/>
    <w:rsid w:val="004B7CD6"/>
    <w:rsid w:val="004C01FA"/>
    <w:rsid w:val="004C2A0A"/>
    <w:rsid w:val="004C2DF5"/>
    <w:rsid w:val="004C3047"/>
    <w:rsid w:val="004C305D"/>
    <w:rsid w:val="004C4618"/>
    <w:rsid w:val="004C56EF"/>
    <w:rsid w:val="004D09B6"/>
    <w:rsid w:val="004D09CF"/>
    <w:rsid w:val="004D0E47"/>
    <w:rsid w:val="004D2048"/>
    <w:rsid w:val="004D2A60"/>
    <w:rsid w:val="004D2B6B"/>
    <w:rsid w:val="004D318B"/>
    <w:rsid w:val="004D3608"/>
    <w:rsid w:val="004D3C0A"/>
    <w:rsid w:val="004D5A2B"/>
    <w:rsid w:val="004D5DAF"/>
    <w:rsid w:val="004D6E38"/>
    <w:rsid w:val="004D6E6A"/>
    <w:rsid w:val="004D71C5"/>
    <w:rsid w:val="004D71EF"/>
    <w:rsid w:val="004D7574"/>
    <w:rsid w:val="004D7828"/>
    <w:rsid w:val="004D7B01"/>
    <w:rsid w:val="004E0906"/>
    <w:rsid w:val="004E0D60"/>
    <w:rsid w:val="004E1845"/>
    <w:rsid w:val="004E536A"/>
    <w:rsid w:val="004E5897"/>
    <w:rsid w:val="004E5D3C"/>
    <w:rsid w:val="004E6336"/>
    <w:rsid w:val="004E66D9"/>
    <w:rsid w:val="004E6AB1"/>
    <w:rsid w:val="004E6B5B"/>
    <w:rsid w:val="004F006F"/>
    <w:rsid w:val="004F00E1"/>
    <w:rsid w:val="004F018C"/>
    <w:rsid w:val="004F0D3E"/>
    <w:rsid w:val="004F0EBE"/>
    <w:rsid w:val="004F170A"/>
    <w:rsid w:val="004F3648"/>
    <w:rsid w:val="004F3E88"/>
    <w:rsid w:val="004F3F17"/>
    <w:rsid w:val="004F436A"/>
    <w:rsid w:val="004F4A42"/>
    <w:rsid w:val="004F5051"/>
    <w:rsid w:val="004F50E3"/>
    <w:rsid w:val="004F5714"/>
    <w:rsid w:val="004F5800"/>
    <w:rsid w:val="004F5A58"/>
    <w:rsid w:val="004F5AFA"/>
    <w:rsid w:val="004F66AC"/>
    <w:rsid w:val="004F6F5C"/>
    <w:rsid w:val="004F76FB"/>
    <w:rsid w:val="00501D0E"/>
    <w:rsid w:val="00502136"/>
    <w:rsid w:val="00503AB8"/>
    <w:rsid w:val="00503F81"/>
    <w:rsid w:val="00504365"/>
    <w:rsid w:val="005057E9"/>
    <w:rsid w:val="00506378"/>
    <w:rsid w:val="005066C6"/>
    <w:rsid w:val="00507F69"/>
    <w:rsid w:val="00510552"/>
    <w:rsid w:val="00510B4C"/>
    <w:rsid w:val="00511429"/>
    <w:rsid w:val="0051269A"/>
    <w:rsid w:val="00512A60"/>
    <w:rsid w:val="00513265"/>
    <w:rsid w:val="00514634"/>
    <w:rsid w:val="00514857"/>
    <w:rsid w:val="00515861"/>
    <w:rsid w:val="0051723B"/>
    <w:rsid w:val="005174A9"/>
    <w:rsid w:val="00517C28"/>
    <w:rsid w:val="00517C29"/>
    <w:rsid w:val="00520FBB"/>
    <w:rsid w:val="00521E6A"/>
    <w:rsid w:val="00521EEC"/>
    <w:rsid w:val="00522975"/>
    <w:rsid w:val="00522B73"/>
    <w:rsid w:val="00522D0C"/>
    <w:rsid w:val="00524239"/>
    <w:rsid w:val="00524D9A"/>
    <w:rsid w:val="00525804"/>
    <w:rsid w:val="0052610A"/>
    <w:rsid w:val="0052625F"/>
    <w:rsid w:val="00526643"/>
    <w:rsid w:val="00526C48"/>
    <w:rsid w:val="005272C7"/>
    <w:rsid w:val="00531402"/>
    <w:rsid w:val="0053274A"/>
    <w:rsid w:val="005338BD"/>
    <w:rsid w:val="0053458F"/>
    <w:rsid w:val="00534AD1"/>
    <w:rsid w:val="0053533E"/>
    <w:rsid w:val="005360DE"/>
    <w:rsid w:val="005370A4"/>
    <w:rsid w:val="0054244B"/>
    <w:rsid w:val="005428EF"/>
    <w:rsid w:val="005429C6"/>
    <w:rsid w:val="00543477"/>
    <w:rsid w:val="00543E71"/>
    <w:rsid w:val="005502C8"/>
    <w:rsid w:val="00550C64"/>
    <w:rsid w:val="00552842"/>
    <w:rsid w:val="00553064"/>
    <w:rsid w:val="00554C84"/>
    <w:rsid w:val="00555157"/>
    <w:rsid w:val="00555303"/>
    <w:rsid w:val="00555480"/>
    <w:rsid w:val="0055622F"/>
    <w:rsid w:val="00557040"/>
    <w:rsid w:val="005572F3"/>
    <w:rsid w:val="00557C33"/>
    <w:rsid w:val="00557CDC"/>
    <w:rsid w:val="00562D55"/>
    <w:rsid w:val="00563897"/>
    <w:rsid w:val="005638FA"/>
    <w:rsid w:val="00563CC5"/>
    <w:rsid w:val="00563E46"/>
    <w:rsid w:val="00564052"/>
    <w:rsid w:val="00565A67"/>
    <w:rsid w:val="00565F5E"/>
    <w:rsid w:val="00567FD6"/>
    <w:rsid w:val="005720F9"/>
    <w:rsid w:val="005723FC"/>
    <w:rsid w:val="005737DF"/>
    <w:rsid w:val="00574447"/>
    <w:rsid w:val="0057516D"/>
    <w:rsid w:val="0057554E"/>
    <w:rsid w:val="00576620"/>
    <w:rsid w:val="00576943"/>
    <w:rsid w:val="00576BD8"/>
    <w:rsid w:val="00577EA9"/>
    <w:rsid w:val="005819B2"/>
    <w:rsid w:val="0058791F"/>
    <w:rsid w:val="005905F8"/>
    <w:rsid w:val="0059164B"/>
    <w:rsid w:val="00591B9E"/>
    <w:rsid w:val="005921BB"/>
    <w:rsid w:val="00592F1A"/>
    <w:rsid w:val="005939B4"/>
    <w:rsid w:val="00594357"/>
    <w:rsid w:val="00594502"/>
    <w:rsid w:val="005945D8"/>
    <w:rsid w:val="00595100"/>
    <w:rsid w:val="005956A2"/>
    <w:rsid w:val="005959DC"/>
    <w:rsid w:val="00595B2E"/>
    <w:rsid w:val="00596AE7"/>
    <w:rsid w:val="00597A78"/>
    <w:rsid w:val="005A052D"/>
    <w:rsid w:val="005A225D"/>
    <w:rsid w:val="005A2659"/>
    <w:rsid w:val="005A2DC1"/>
    <w:rsid w:val="005A3C22"/>
    <w:rsid w:val="005A3D8F"/>
    <w:rsid w:val="005A49CF"/>
    <w:rsid w:val="005A4F79"/>
    <w:rsid w:val="005A7035"/>
    <w:rsid w:val="005A7714"/>
    <w:rsid w:val="005B1922"/>
    <w:rsid w:val="005B1BCE"/>
    <w:rsid w:val="005B2328"/>
    <w:rsid w:val="005B322B"/>
    <w:rsid w:val="005B39EE"/>
    <w:rsid w:val="005B4D4F"/>
    <w:rsid w:val="005B4F82"/>
    <w:rsid w:val="005B5206"/>
    <w:rsid w:val="005B5AA9"/>
    <w:rsid w:val="005B6618"/>
    <w:rsid w:val="005B6E21"/>
    <w:rsid w:val="005B7814"/>
    <w:rsid w:val="005C0ECD"/>
    <w:rsid w:val="005C1153"/>
    <w:rsid w:val="005C133C"/>
    <w:rsid w:val="005C14C6"/>
    <w:rsid w:val="005C1CB3"/>
    <w:rsid w:val="005C2031"/>
    <w:rsid w:val="005C2238"/>
    <w:rsid w:val="005C31EA"/>
    <w:rsid w:val="005C3CEA"/>
    <w:rsid w:val="005C3DA2"/>
    <w:rsid w:val="005C4944"/>
    <w:rsid w:val="005C4D39"/>
    <w:rsid w:val="005C6B9A"/>
    <w:rsid w:val="005C6D38"/>
    <w:rsid w:val="005C6EED"/>
    <w:rsid w:val="005C7E88"/>
    <w:rsid w:val="005D0238"/>
    <w:rsid w:val="005D16AB"/>
    <w:rsid w:val="005D1D2E"/>
    <w:rsid w:val="005D1DFE"/>
    <w:rsid w:val="005D2A75"/>
    <w:rsid w:val="005D2C00"/>
    <w:rsid w:val="005D323A"/>
    <w:rsid w:val="005D4579"/>
    <w:rsid w:val="005D50A3"/>
    <w:rsid w:val="005D6BFB"/>
    <w:rsid w:val="005D72AD"/>
    <w:rsid w:val="005E2849"/>
    <w:rsid w:val="005E35ED"/>
    <w:rsid w:val="005E430F"/>
    <w:rsid w:val="005E5F46"/>
    <w:rsid w:val="005E6BA1"/>
    <w:rsid w:val="005E6CF6"/>
    <w:rsid w:val="005E72D2"/>
    <w:rsid w:val="005E7A15"/>
    <w:rsid w:val="005F09CC"/>
    <w:rsid w:val="005F1C04"/>
    <w:rsid w:val="005F1D61"/>
    <w:rsid w:val="005F2AF4"/>
    <w:rsid w:val="005F329F"/>
    <w:rsid w:val="005F3597"/>
    <w:rsid w:val="005F4B34"/>
    <w:rsid w:val="005F5047"/>
    <w:rsid w:val="005F6298"/>
    <w:rsid w:val="005F71FD"/>
    <w:rsid w:val="005F75AD"/>
    <w:rsid w:val="0060095E"/>
    <w:rsid w:val="00604396"/>
    <w:rsid w:val="006049C2"/>
    <w:rsid w:val="006049D6"/>
    <w:rsid w:val="006056AB"/>
    <w:rsid w:val="00605869"/>
    <w:rsid w:val="006059D8"/>
    <w:rsid w:val="00607705"/>
    <w:rsid w:val="00610C97"/>
    <w:rsid w:val="00610D65"/>
    <w:rsid w:val="00611321"/>
    <w:rsid w:val="00611C9C"/>
    <w:rsid w:val="00612510"/>
    <w:rsid w:val="006127B2"/>
    <w:rsid w:val="00612A28"/>
    <w:rsid w:val="006137AB"/>
    <w:rsid w:val="006137F5"/>
    <w:rsid w:val="00614BE7"/>
    <w:rsid w:val="0061564E"/>
    <w:rsid w:val="006157CE"/>
    <w:rsid w:val="00615C97"/>
    <w:rsid w:val="00617149"/>
    <w:rsid w:val="00617414"/>
    <w:rsid w:val="00620B80"/>
    <w:rsid w:val="00620C2B"/>
    <w:rsid w:val="00621A1B"/>
    <w:rsid w:val="00621DB5"/>
    <w:rsid w:val="006262FD"/>
    <w:rsid w:val="00626D71"/>
    <w:rsid w:val="00626E07"/>
    <w:rsid w:val="00627F0D"/>
    <w:rsid w:val="00630248"/>
    <w:rsid w:val="00631596"/>
    <w:rsid w:val="00631638"/>
    <w:rsid w:val="00632671"/>
    <w:rsid w:val="00633BD6"/>
    <w:rsid w:val="00633C27"/>
    <w:rsid w:val="006349C8"/>
    <w:rsid w:val="00634B99"/>
    <w:rsid w:val="00637087"/>
    <w:rsid w:val="00637415"/>
    <w:rsid w:val="006408B0"/>
    <w:rsid w:val="00644D6F"/>
    <w:rsid w:val="006451A0"/>
    <w:rsid w:val="00645A21"/>
    <w:rsid w:val="006474A1"/>
    <w:rsid w:val="00647F2B"/>
    <w:rsid w:val="00650510"/>
    <w:rsid w:val="00651CEB"/>
    <w:rsid w:val="0065337B"/>
    <w:rsid w:val="00653913"/>
    <w:rsid w:val="00653F8C"/>
    <w:rsid w:val="006567CB"/>
    <w:rsid w:val="006578AF"/>
    <w:rsid w:val="0065798C"/>
    <w:rsid w:val="00660586"/>
    <w:rsid w:val="00660DB7"/>
    <w:rsid w:val="006622F0"/>
    <w:rsid w:val="0066263E"/>
    <w:rsid w:val="00663EB9"/>
    <w:rsid w:val="006707E4"/>
    <w:rsid w:val="00670EA3"/>
    <w:rsid w:val="00672318"/>
    <w:rsid w:val="00672B1B"/>
    <w:rsid w:val="00673BB3"/>
    <w:rsid w:val="0067408B"/>
    <w:rsid w:val="0067468B"/>
    <w:rsid w:val="0067571B"/>
    <w:rsid w:val="006759BE"/>
    <w:rsid w:val="00675A71"/>
    <w:rsid w:val="00675E42"/>
    <w:rsid w:val="00676276"/>
    <w:rsid w:val="00680215"/>
    <w:rsid w:val="006808E2"/>
    <w:rsid w:val="00681089"/>
    <w:rsid w:val="006828CA"/>
    <w:rsid w:val="006848A4"/>
    <w:rsid w:val="006861BC"/>
    <w:rsid w:val="00687DF7"/>
    <w:rsid w:val="00690605"/>
    <w:rsid w:val="00692661"/>
    <w:rsid w:val="0069412B"/>
    <w:rsid w:val="00694E1C"/>
    <w:rsid w:val="006965C1"/>
    <w:rsid w:val="006971B6"/>
    <w:rsid w:val="00697C33"/>
    <w:rsid w:val="006A0657"/>
    <w:rsid w:val="006A1638"/>
    <w:rsid w:val="006A16AB"/>
    <w:rsid w:val="006A21DB"/>
    <w:rsid w:val="006A25AB"/>
    <w:rsid w:val="006A2AE1"/>
    <w:rsid w:val="006A3CBC"/>
    <w:rsid w:val="006A3EA4"/>
    <w:rsid w:val="006A418D"/>
    <w:rsid w:val="006A6941"/>
    <w:rsid w:val="006A695E"/>
    <w:rsid w:val="006B0075"/>
    <w:rsid w:val="006B0541"/>
    <w:rsid w:val="006B181E"/>
    <w:rsid w:val="006B23A5"/>
    <w:rsid w:val="006B2692"/>
    <w:rsid w:val="006B3A7B"/>
    <w:rsid w:val="006B44C9"/>
    <w:rsid w:val="006B48DC"/>
    <w:rsid w:val="006B5494"/>
    <w:rsid w:val="006B60C2"/>
    <w:rsid w:val="006B64C9"/>
    <w:rsid w:val="006B6A8E"/>
    <w:rsid w:val="006B79FA"/>
    <w:rsid w:val="006B7B44"/>
    <w:rsid w:val="006C1E2B"/>
    <w:rsid w:val="006C28C0"/>
    <w:rsid w:val="006C2A56"/>
    <w:rsid w:val="006C2CA4"/>
    <w:rsid w:val="006C31B6"/>
    <w:rsid w:val="006C3248"/>
    <w:rsid w:val="006C3637"/>
    <w:rsid w:val="006C373C"/>
    <w:rsid w:val="006C3DE7"/>
    <w:rsid w:val="006C5187"/>
    <w:rsid w:val="006C5230"/>
    <w:rsid w:val="006C6234"/>
    <w:rsid w:val="006C636B"/>
    <w:rsid w:val="006C66E0"/>
    <w:rsid w:val="006C6A4A"/>
    <w:rsid w:val="006C6D43"/>
    <w:rsid w:val="006D0094"/>
    <w:rsid w:val="006D073C"/>
    <w:rsid w:val="006D1D71"/>
    <w:rsid w:val="006D223B"/>
    <w:rsid w:val="006D29E8"/>
    <w:rsid w:val="006D2DBD"/>
    <w:rsid w:val="006D3073"/>
    <w:rsid w:val="006D66AC"/>
    <w:rsid w:val="006D68FA"/>
    <w:rsid w:val="006D6936"/>
    <w:rsid w:val="006D6F07"/>
    <w:rsid w:val="006D7567"/>
    <w:rsid w:val="006D7827"/>
    <w:rsid w:val="006E1BEB"/>
    <w:rsid w:val="006E1C48"/>
    <w:rsid w:val="006E214D"/>
    <w:rsid w:val="006E3A04"/>
    <w:rsid w:val="006E3F41"/>
    <w:rsid w:val="006E55D7"/>
    <w:rsid w:val="006E5A64"/>
    <w:rsid w:val="006E6979"/>
    <w:rsid w:val="006E7034"/>
    <w:rsid w:val="006E76DF"/>
    <w:rsid w:val="006E7B90"/>
    <w:rsid w:val="006F04E2"/>
    <w:rsid w:val="006F098F"/>
    <w:rsid w:val="006F0D2A"/>
    <w:rsid w:val="006F10A2"/>
    <w:rsid w:val="006F1B0F"/>
    <w:rsid w:val="006F29FC"/>
    <w:rsid w:val="006F3266"/>
    <w:rsid w:val="006F4115"/>
    <w:rsid w:val="006F4C3E"/>
    <w:rsid w:val="006F5C5C"/>
    <w:rsid w:val="006F5DB7"/>
    <w:rsid w:val="006F61A2"/>
    <w:rsid w:val="006F6CBB"/>
    <w:rsid w:val="006F7481"/>
    <w:rsid w:val="006F7CB3"/>
    <w:rsid w:val="00700FF4"/>
    <w:rsid w:val="0070101E"/>
    <w:rsid w:val="00701612"/>
    <w:rsid w:val="00701FB0"/>
    <w:rsid w:val="00702394"/>
    <w:rsid w:val="007029E4"/>
    <w:rsid w:val="00704732"/>
    <w:rsid w:val="0070664B"/>
    <w:rsid w:val="00711071"/>
    <w:rsid w:val="0071254B"/>
    <w:rsid w:val="00713A95"/>
    <w:rsid w:val="007142DB"/>
    <w:rsid w:val="007146CB"/>
    <w:rsid w:val="007166D5"/>
    <w:rsid w:val="007174F4"/>
    <w:rsid w:val="007212ED"/>
    <w:rsid w:val="007229D9"/>
    <w:rsid w:val="00722B68"/>
    <w:rsid w:val="00724BE6"/>
    <w:rsid w:val="0072551E"/>
    <w:rsid w:val="0072552C"/>
    <w:rsid w:val="0072557B"/>
    <w:rsid w:val="007258EE"/>
    <w:rsid w:val="00725F20"/>
    <w:rsid w:val="00726B49"/>
    <w:rsid w:val="00727DD8"/>
    <w:rsid w:val="007303AB"/>
    <w:rsid w:val="00732826"/>
    <w:rsid w:val="00734291"/>
    <w:rsid w:val="007361EC"/>
    <w:rsid w:val="007373DE"/>
    <w:rsid w:val="0073753D"/>
    <w:rsid w:val="00737B24"/>
    <w:rsid w:val="00741128"/>
    <w:rsid w:val="0074201A"/>
    <w:rsid w:val="007420C1"/>
    <w:rsid w:val="0074257F"/>
    <w:rsid w:val="00742AC9"/>
    <w:rsid w:val="00744657"/>
    <w:rsid w:val="00745AAF"/>
    <w:rsid w:val="00745B58"/>
    <w:rsid w:val="00745E24"/>
    <w:rsid w:val="00746F9F"/>
    <w:rsid w:val="00747234"/>
    <w:rsid w:val="00750817"/>
    <w:rsid w:val="0075093D"/>
    <w:rsid w:val="00750C50"/>
    <w:rsid w:val="00751CD4"/>
    <w:rsid w:val="00751F09"/>
    <w:rsid w:val="00752724"/>
    <w:rsid w:val="007529E6"/>
    <w:rsid w:val="007535C8"/>
    <w:rsid w:val="0075421C"/>
    <w:rsid w:val="00754779"/>
    <w:rsid w:val="007547E1"/>
    <w:rsid w:val="00754E1C"/>
    <w:rsid w:val="0075659B"/>
    <w:rsid w:val="007568DE"/>
    <w:rsid w:val="007569A6"/>
    <w:rsid w:val="00760030"/>
    <w:rsid w:val="00760C62"/>
    <w:rsid w:val="00762182"/>
    <w:rsid w:val="00762218"/>
    <w:rsid w:val="007628BB"/>
    <w:rsid w:val="00762C5F"/>
    <w:rsid w:val="007638D0"/>
    <w:rsid w:val="007653D2"/>
    <w:rsid w:val="0076786F"/>
    <w:rsid w:val="00767CE8"/>
    <w:rsid w:val="0077049C"/>
    <w:rsid w:val="0077192F"/>
    <w:rsid w:val="00771FFA"/>
    <w:rsid w:val="0077223A"/>
    <w:rsid w:val="007722FE"/>
    <w:rsid w:val="00773234"/>
    <w:rsid w:val="00773249"/>
    <w:rsid w:val="00773465"/>
    <w:rsid w:val="00774C91"/>
    <w:rsid w:val="00776FC0"/>
    <w:rsid w:val="00777666"/>
    <w:rsid w:val="00777CF3"/>
    <w:rsid w:val="00780A54"/>
    <w:rsid w:val="007825B5"/>
    <w:rsid w:val="007841C3"/>
    <w:rsid w:val="00784374"/>
    <w:rsid w:val="00784D5A"/>
    <w:rsid w:val="00786755"/>
    <w:rsid w:val="00787150"/>
    <w:rsid w:val="00791128"/>
    <w:rsid w:val="007918B9"/>
    <w:rsid w:val="00792199"/>
    <w:rsid w:val="007937AA"/>
    <w:rsid w:val="0079584E"/>
    <w:rsid w:val="00795D87"/>
    <w:rsid w:val="00796B03"/>
    <w:rsid w:val="00797103"/>
    <w:rsid w:val="0079793F"/>
    <w:rsid w:val="007A19AA"/>
    <w:rsid w:val="007A1B06"/>
    <w:rsid w:val="007A2D4E"/>
    <w:rsid w:val="007A3F07"/>
    <w:rsid w:val="007A45F3"/>
    <w:rsid w:val="007A4C04"/>
    <w:rsid w:val="007A564C"/>
    <w:rsid w:val="007A64A8"/>
    <w:rsid w:val="007A6692"/>
    <w:rsid w:val="007A7289"/>
    <w:rsid w:val="007B0CA0"/>
    <w:rsid w:val="007B0EE6"/>
    <w:rsid w:val="007B0FCA"/>
    <w:rsid w:val="007B17B7"/>
    <w:rsid w:val="007B1E7F"/>
    <w:rsid w:val="007B1E83"/>
    <w:rsid w:val="007B2162"/>
    <w:rsid w:val="007B32CD"/>
    <w:rsid w:val="007B3C63"/>
    <w:rsid w:val="007B5791"/>
    <w:rsid w:val="007B5BA9"/>
    <w:rsid w:val="007B5E12"/>
    <w:rsid w:val="007B6591"/>
    <w:rsid w:val="007B6B12"/>
    <w:rsid w:val="007B7F5C"/>
    <w:rsid w:val="007C1893"/>
    <w:rsid w:val="007C21BB"/>
    <w:rsid w:val="007C2205"/>
    <w:rsid w:val="007C2276"/>
    <w:rsid w:val="007C2982"/>
    <w:rsid w:val="007C3730"/>
    <w:rsid w:val="007C3BD4"/>
    <w:rsid w:val="007C4188"/>
    <w:rsid w:val="007C457B"/>
    <w:rsid w:val="007C481B"/>
    <w:rsid w:val="007C4BBA"/>
    <w:rsid w:val="007C60BC"/>
    <w:rsid w:val="007C6665"/>
    <w:rsid w:val="007C6D7F"/>
    <w:rsid w:val="007D0930"/>
    <w:rsid w:val="007D0E20"/>
    <w:rsid w:val="007D0EE9"/>
    <w:rsid w:val="007D17BC"/>
    <w:rsid w:val="007D193B"/>
    <w:rsid w:val="007D39DC"/>
    <w:rsid w:val="007D3BBC"/>
    <w:rsid w:val="007D4397"/>
    <w:rsid w:val="007D46AE"/>
    <w:rsid w:val="007D4E54"/>
    <w:rsid w:val="007D4FB1"/>
    <w:rsid w:val="007D5873"/>
    <w:rsid w:val="007D6F49"/>
    <w:rsid w:val="007E022A"/>
    <w:rsid w:val="007E085A"/>
    <w:rsid w:val="007E0B80"/>
    <w:rsid w:val="007E1DE6"/>
    <w:rsid w:val="007E1F49"/>
    <w:rsid w:val="007E213B"/>
    <w:rsid w:val="007E2477"/>
    <w:rsid w:val="007E26D0"/>
    <w:rsid w:val="007E285B"/>
    <w:rsid w:val="007E2948"/>
    <w:rsid w:val="007E3002"/>
    <w:rsid w:val="007E319C"/>
    <w:rsid w:val="007E42C0"/>
    <w:rsid w:val="007E4B1B"/>
    <w:rsid w:val="007E553E"/>
    <w:rsid w:val="007E64E0"/>
    <w:rsid w:val="007E6572"/>
    <w:rsid w:val="007E69A0"/>
    <w:rsid w:val="007E69D8"/>
    <w:rsid w:val="007E6F6A"/>
    <w:rsid w:val="007E77B7"/>
    <w:rsid w:val="007E77F6"/>
    <w:rsid w:val="007F1265"/>
    <w:rsid w:val="007F160D"/>
    <w:rsid w:val="007F43F5"/>
    <w:rsid w:val="007F4805"/>
    <w:rsid w:val="007F5157"/>
    <w:rsid w:val="007F64AA"/>
    <w:rsid w:val="007F744C"/>
    <w:rsid w:val="007F7493"/>
    <w:rsid w:val="007F7F43"/>
    <w:rsid w:val="0080066A"/>
    <w:rsid w:val="00801265"/>
    <w:rsid w:val="008017A0"/>
    <w:rsid w:val="00801AF4"/>
    <w:rsid w:val="00804C54"/>
    <w:rsid w:val="00805B29"/>
    <w:rsid w:val="00805EA8"/>
    <w:rsid w:val="00806263"/>
    <w:rsid w:val="00806D96"/>
    <w:rsid w:val="00810A25"/>
    <w:rsid w:val="0081305A"/>
    <w:rsid w:val="00813F5F"/>
    <w:rsid w:val="008140A3"/>
    <w:rsid w:val="008141FD"/>
    <w:rsid w:val="00815E66"/>
    <w:rsid w:val="0081634C"/>
    <w:rsid w:val="00820105"/>
    <w:rsid w:val="008204CE"/>
    <w:rsid w:val="00820B15"/>
    <w:rsid w:val="00822B9C"/>
    <w:rsid w:val="008230A3"/>
    <w:rsid w:val="00823A9D"/>
    <w:rsid w:val="00823DCF"/>
    <w:rsid w:val="00825A47"/>
    <w:rsid w:val="0082763F"/>
    <w:rsid w:val="00827EF1"/>
    <w:rsid w:val="008309BF"/>
    <w:rsid w:val="0083129F"/>
    <w:rsid w:val="00831E2F"/>
    <w:rsid w:val="008327FE"/>
    <w:rsid w:val="008328EB"/>
    <w:rsid w:val="00832D90"/>
    <w:rsid w:val="00832F2A"/>
    <w:rsid w:val="0083418F"/>
    <w:rsid w:val="008345F5"/>
    <w:rsid w:val="0083461B"/>
    <w:rsid w:val="00835BE6"/>
    <w:rsid w:val="008362D7"/>
    <w:rsid w:val="00836F60"/>
    <w:rsid w:val="008379FA"/>
    <w:rsid w:val="008406B9"/>
    <w:rsid w:val="00840C52"/>
    <w:rsid w:val="008414F4"/>
    <w:rsid w:val="00841B12"/>
    <w:rsid w:val="00841EB1"/>
    <w:rsid w:val="00841FA7"/>
    <w:rsid w:val="0084234F"/>
    <w:rsid w:val="008437DD"/>
    <w:rsid w:val="00844329"/>
    <w:rsid w:val="008444CD"/>
    <w:rsid w:val="008449BC"/>
    <w:rsid w:val="00845649"/>
    <w:rsid w:val="008463D8"/>
    <w:rsid w:val="0084703B"/>
    <w:rsid w:val="00847116"/>
    <w:rsid w:val="008474DB"/>
    <w:rsid w:val="00847B9D"/>
    <w:rsid w:val="00850BC9"/>
    <w:rsid w:val="008516E7"/>
    <w:rsid w:val="00851A48"/>
    <w:rsid w:val="00851FD2"/>
    <w:rsid w:val="00852A44"/>
    <w:rsid w:val="00852B70"/>
    <w:rsid w:val="00852BE5"/>
    <w:rsid w:val="00853DCD"/>
    <w:rsid w:val="00855BE4"/>
    <w:rsid w:val="008564AA"/>
    <w:rsid w:val="00856A87"/>
    <w:rsid w:val="00856BD5"/>
    <w:rsid w:val="00857E87"/>
    <w:rsid w:val="00860A99"/>
    <w:rsid w:val="00860E9E"/>
    <w:rsid w:val="00861298"/>
    <w:rsid w:val="0086137A"/>
    <w:rsid w:val="00861401"/>
    <w:rsid w:val="00865778"/>
    <w:rsid w:val="00866101"/>
    <w:rsid w:val="0086636E"/>
    <w:rsid w:val="008668E7"/>
    <w:rsid w:val="00870AAB"/>
    <w:rsid w:val="00870E7C"/>
    <w:rsid w:val="00871023"/>
    <w:rsid w:val="00871197"/>
    <w:rsid w:val="00871FE3"/>
    <w:rsid w:val="008722AA"/>
    <w:rsid w:val="00872FA6"/>
    <w:rsid w:val="00874CFE"/>
    <w:rsid w:val="008762D9"/>
    <w:rsid w:val="00876C50"/>
    <w:rsid w:val="00877190"/>
    <w:rsid w:val="00877776"/>
    <w:rsid w:val="00877803"/>
    <w:rsid w:val="008803B7"/>
    <w:rsid w:val="008808D7"/>
    <w:rsid w:val="00880DB1"/>
    <w:rsid w:val="00882B20"/>
    <w:rsid w:val="0088419B"/>
    <w:rsid w:val="008915DC"/>
    <w:rsid w:val="00891DBD"/>
    <w:rsid w:val="0089305F"/>
    <w:rsid w:val="00893E03"/>
    <w:rsid w:val="00894A6B"/>
    <w:rsid w:val="00895A45"/>
    <w:rsid w:val="008969D4"/>
    <w:rsid w:val="008A1C6E"/>
    <w:rsid w:val="008A2C51"/>
    <w:rsid w:val="008A3234"/>
    <w:rsid w:val="008A35BD"/>
    <w:rsid w:val="008A36F6"/>
    <w:rsid w:val="008A3F45"/>
    <w:rsid w:val="008A405B"/>
    <w:rsid w:val="008A4E37"/>
    <w:rsid w:val="008A554E"/>
    <w:rsid w:val="008A5A8B"/>
    <w:rsid w:val="008A7C0F"/>
    <w:rsid w:val="008B0226"/>
    <w:rsid w:val="008B046A"/>
    <w:rsid w:val="008B1537"/>
    <w:rsid w:val="008B1E36"/>
    <w:rsid w:val="008B21DA"/>
    <w:rsid w:val="008B2743"/>
    <w:rsid w:val="008B2833"/>
    <w:rsid w:val="008B376C"/>
    <w:rsid w:val="008B40DB"/>
    <w:rsid w:val="008B433E"/>
    <w:rsid w:val="008B4488"/>
    <w:rsid w:val="008B4DDB"/>
    <w:rsid w:val="008B578B"/>
    <w:rsid w:val="008B6AC0"/>
    <w:rsid w:val="008B6BD6"/>
    <w:rsid w:val="008B6CBE"/>
    <w:rsid w:val="008B71EF"/>
    <w:rsid w:val="008B7ADE"/>
    <w:rsid w:val="008C0C56"/>
    <w:rsid w:val="008C121B"/>
    <w:rsid w:val="008C1755"/>
    <w:rsid w:val="008C3099"/>
    <w:rsid w:val="008C31A6"/>
    <w:rsid w:val="008C3DAA"/>
    <w:rsid w:val="008C5256"/>
    <w:rsid w:val="008C68F6"/>
    <w:rsid w:val="008C6B04"/>
    <w:rsid w:val="008C70E5"/>
    <w:rsid w:val="008D1446"/>
    <w:rsid w:val="008D18CD"/>
    <w:rsid w:val="008D1E9C"/>
    <w:rsid w:val="008D28FC"/>
    <w:rsid w:val="008D3546"/>
    <w:rsid w:val="008D5009"/>
    <w:rsid w:val="008D708B"/>
    <w:rsid w:val="008E3D36"/>
    <w:rsid w:val="008E53AF"/>
    <w:rsid w:val="008E54DD"/>
    <w:rsid w:val="008E5ADE"/>
    <w:rsid w:val="008E6075"/>
    <w:rsid w:val="008E6DC5"/>
    <w:rsid w:val="008E6FA0"/>
    <w:rsid w:val="008E7319"/>
    <w:rsid w:val="008E7372"/>
    <w:rsid w:val="008E77EA"/>
    <w:rsid w:val="008E7CD3"/>
    <w:rsid w:val="008E7D50"/>
    <w:rsid w:val="008F09B6"/>
    <w:rsid w:val="008F23D1"/>
    <w:rsid w:val="008F2CE3"/>
    <w:rsid w:val="008F428C"/>
    <w:rsid w:val="008F4AF7"/>
    <w:rsid w:val="008F62B5"/>
    <w:rsid w:val="008F6497"/>
    <w:rsid w:val="008F7C34"/>
    <w:rsid w:val="008F7C62"/>
    <w:rsid w:val="009005A5"/>
    <w:rsid w:val="00900681"/>
    <w:rsid w:val="00900835"/>
    <w:rsid w:val="00900A74"/>
    <w:rsid w:val="00900DE9"/>
    <w:rsid w:val="0090106A"/>
    <w:rsid w:val="00901F43"/>
    <w:rsid w:val="0090447C"/>
    <w:rsid w:val="0090486E"/>
    <w:rsid w:val="00904D89"/>
    <w:rsid w:val="00904D9D"/>
    <w:rsid w:val="00905C68"/>
    <w:rsid w:val="00905D3D"/>
    <w:rsid w:val="00907390"/>
    <w:rsid w:val="009073B0"/>
    <w:rsid w:val="00907F72"/>
    <w:rsid w:val="00910169"/>
    <w:rsid w:val="0091029A"/>
    <w:rsid w:val="00910C8C"/>
    <w:rsid w:val="00912CF7"/>
    <w:rsid w:val="00912D9F"/>
    <w:rsid w:val="00913932"/>
    <w:rsid w:val="00913965"/>
    <w:rsid w:val="00913C6F"/>
    <w:rsid w:val="00913DB5"/>
    <w:rsid w:val="0091418D"/>
    <w:rsid w:val="009147B4"/>
    <w:rsid w:val="00915AC3"/>
    <w:rsid w:val="0091646D"/>
    <w:rsid w:val="009172F4"/>
    <w:rsid w:val="009200AA"/>
    <w:rsid w:val="00920A6D"/>
    <w:rsid w:val="00920F06"/>
    <w:rsid w:val="00921023"/>
    <w:rsid w:val="00921704"/>
    <w:rsid w:val="00922608"/>
    <w:rsid w:val="00922BE9"/>
    <w:rsid w:val="00924CE8"/>
    <w:rsid w:val="00925203"/>
    <w:rsid w:val="0092640E"/>
    <w:rsid w:val="009269FA"/>
    <w:rsid w:val="00926B7C"/>
    <w:rsid w:val="009277AB"/>
    <w:rsid w:val="00930318"/>
    <w:rsid w:val="0093054F"/>
    <w:rsid w:val="00932938"/>
    <w:rsid w:val="00933B4D"/>
    <w:rsid w:val="00934A31"/>
    <w:rsid w:val="00934A6C"/>
    <w:rsid w:val="00935D60"/>
    <w:rsid w:val="00936119"/>
    <w:rsid w:val="00936898"/>
    <w:rsid w:val="00936E95"/>
    <w:rsid w:val="00937EE8"/>
    <w:rsid w:val="0094059A"/>
    <w:rsid w:val="00940D74"/>
    <w:rsid w:val="00940F8F"/>
    <w:rsid w:val="009411F3"/>
    <w:rsid w:val="009413C8"/>
    <w:rsid w:val="00942065"/>
    <w:rsid w:val="009421CA"/>
    <w:rsid w:val="00942378"/>
    <w:rsid w:val="00942D7C"/>
    <w:rsid w:val="00944776"/>
    <w:rsid w:val="00944B74"/>
    <w:rsid w:val="00944E08"/>
    <w:rsid w:val="009464D5"/>
    <w:rsid w:val="009465F6"/>
    <w:rsid w:val="00946CBA"/>
    <w:rsid w:val="00946EE3"/>
    <w:rsid w:val="00946F9B"/>
    <w:rsid w:val="009478DD"/>
    <w:rsid w:val="00947C50"/>
    <w:rsid w:val="00950542"/>
    <w:rsid w:val="00950988"/>
    <w:rsid w:val="009509DC"/>
    <w:rsid w:val="009517F6"/>
    <w:rsid w:val="00951A07"/>
    <w:rsid w:val="00952199"/>
    <w:rsid w:val="0095365A"/>
    <w:rsid w:val="00953AAD"/>
    <w:rsid w:val="00955BFD"/>
    <w:rsid w:val="00956330"/>
    <w:rsid w:val="009564F7"/>
    <w:rsid w:val="00957F90"/>
    <w:rsid w:val="009601D5"/>
    <w:rsid w:val="0096178B"/>
    <w:rsid w:val="0096184A"/>
    <w:rsid w:val="00964112"/>
    <w:rsid w:val="00964285"/>
    <w:rsid w:val="00964B19"/>
    <w:rsid w:val="00964D8F"/>
    <w:rsid w:val="009655DF"/>
    <w:rsid w:val="00966D9B"/>
    <w:rsid w:val="00966F8D"/>
    <w:rsid w:val="0097031C"/>
    <w:rsid w:val="00971D18"/>
    <w:rsid w:val="0097341C"/>
    <w:rsid w:val="0097427F"/>
    <w:rsid w:val="00974CA4"/>
    <w:rsid w:val="009752CB"/>
    <w:rsid w:val="009756E5"/>
    <w:rsid w:val="00975D23"/>
    <w:rsid w:val="009777CC"/>
    <w:rsid w:val="00977D0A"/>
    <w:rsid w:val="00980BCE"/>
    <w:rsid w:val="009816BF"/>
    <w:rsid w:val="00981E31"/>
    <w:rsid w:val="00982553"/>
    <w:rsid w:val="0098290F"/>
    <w:rsid w:val="009843E2"/>
    <w:rsid w:val="00984B39"/>
    <w:rsid w:val="00985119"/>
    <w:rsid w:val="00985E2B"/>
    <w:rsid w:val="00986539"/>
    <w:rsid w:val="00986653"/>
    <w:rsid w:val="00986ED7"/>
    <w:rsid w:val="00987AD3"/>
    <w:rsid w:val="0099184E"/>
    <w:rsid w:val="00991D98"/>
    <w:rsid w:val="00991E54"/>
    <w:rsid w:val="0099203E"/>
    <w:rsid w:val="00993CEC"/>
    <w:rsid w:val="0099515E"/>
    <w:rsid w:val="00995A15"/>
    <w:rsid w:val="0099639E"/>
    <w:rsid w:val="00996DCD"/>
    <w:rsid w:val="0099702D"/>
    <w:rsid w:val="009A063C"/>
    <w:rsid w:val="009A1000"/>
    <w:rsid w:val="009A15AE"/>
    <w:rsid w:val="009A1F5A"/>
    <w:rsid w:val="009A3A75"/>
    <w:rsid w:val="009A3C64"/>
    <w:rsid w:val="009A43B0"/>
    <w:rsid w:val="009A4418"/>
    <w:rsid w:val="009A5661"/>
    <w:rsid w:val="009A6694"/>
    <w:rsid w:val="009A7681"/>
    <w:rsid w:val="009B0417"/>
    <w:rsid w:val="009B1228"/>
    <w:rsid w:val="009B2E87"/>
    <w:rsid w:val="009B48EF"/>
    <w:rsid w:val="009B4BC7"/>
    <w:rsid w:val="009B510E"/>
    <w:rsid w:val="009B5498"/>
    <w:rsid w:val="009B59D0"/>
    <w:rsid w:val="009B6122"/>
    <w:rsid w:val="009B7547"/>
    <w:rsid w:val="009B7688"/>
    <w:rsid w:val="009C0B3B"/>
    <w:rsid w:val="009C0FB1"/>
    <w:rsid w:val="009C1079"/>
    <w:rsid w:val="009C1308"/>
    <w:rsid w:val="009C1452"/>
    <w:rsid w:val="009C1850"/>
    <w:rsid w:val="009C1F0C"/>
    <w:rsid w:val="009C28CC"/>
    <w:rsid w:val="009C30FC"/>
    <w:rsid w:val="009C333A"/>
    <w:rsid w:val="009C3E0E"/>
    <w:rsid w:val="009C4172"/>
    <w:rsid w:val="009C4625"/>
    <w:rsid w:val="009C57A1"/>
    <w:rsid w:val="009C6191"/>
    <w:rsid w:val="009C6495"/>
    <w:rsid w:val="009C75DB"/>
    <w:rsid w:val="009C7876"/>
    <w:rsid w:val="009D04E5"/>
    <w:rsid w:val="009D0753"/>
    <w:rsid w:val="009D10B5"/>
    <w:rsid w:val="009D23C0"/>
    <w:rsid w:val="009D3CFC"/>
    <w:rsid w:val="009D3E7C"/>
    <w:rsid w:val="009D4758"/>
    <w:rsid w:val="009D48E2"/>
    <w:rsid w:val="009D4E59"/>
    <w:rsid w:val="009D5398"/>
    <w:rsid w:val="009D7476"/>
    <w:rsid w:val="009D7EBA"/>
    <w:rsid w:val="009E16FC"/>
    <w:rsid w:val="009E29E7"/>
    <w:rsid w:val="009E2E6A"/>
    <w:rsid w:val="009E33A9"/>
    <w:rsid w:val="009E66CA"/>
    <w:rsid w:val="009F2B08"/>
    <w:rsid w:val="009F3B03"/>
    <w:rsid w:val="009F43F5"/>
    <w:rsid w:val="009F4E2B"/>
    <w:rsid w:val="009F5AFE"/>
    <w:rsid w:val="009F5BDB"/>
    <w:rsid w:val="009F661B"/>
    <w:rsid w:val="009F6F52"/>
    <w:rsid w:val="009F7101"/>
    <w:rsid w:val="009F73C6"/>
    <w:rsid w:val="00A01AD8"/>
    <w:rsid w:val="00A038D6"/>
    <w:rsid w:val="00A0412D"/>
    <w:rsid w:val="00A043AB"/>
    <w:rsid w:val="00A06855"/>
    <w:rsid w:val="00A072E6"/>
    <w:rsid w:val="00A0777F"/>
    <w:rsid w:val="00A1167C"/>
    <w:rsid w:val="00A119EF"/>
    <w:rsid w:val="00A1217D"/>
    <w:rsid w:val="00A124E4"/>
    <w:rsid w:val="00A1307A"/>
    <w:rsid w:val="00A140DB"/>
    <w:rsid w:val="00A14EFD"/>
    <w:rsid w:val="00A1506E"/>
    <w:rsid w:val="00A1522A"/>
    <w:rsid w:val="00A161BB"/>
    <w:rsid w:val="00A16ACE"/>
    <w:rsid w:val="00A16FAB"/>
    <w:rsid w:val="00A17A61"/>
    <w:rsid w:val="00A2031E"/>
    <w:rsid w:val="00A2042B"/>
    <w:rsid w:val="00A206BC"/>
    <w:rsid w:val="00A2073E"/>
    <w:rsid w:val="00A211A9"/>
    <w:rsid w:val="00A230BA"/>
    <w:rsid w:val="00A23100"/>
    <w:rsid w:val="00A24256"/>
    <w:rsid w:val="00A243C0"/>
    <w:rsid w:val="00A24EC8"/>
    <w:rsid w:val="00A25F88"/>
    <w:rsid w:val="00A269E2"/>
    <w:rsid w:val="00A2756D"/>
    <w:rsid w:val="00A3016A"/>
    <w:rsid w:val="00A30DDB"/>
    <w:rsid w:val="00A32E81"/>
    <w:rsid w:val="00A3310C"/>
    <w:rsid w:val="00A33E12"/>
    <w:rsid w:val="00A340B0"/>
    <w:rsid w:val="00A369D8"/>
    <w:rsid w:val="00A409F3"/>
    <w:rsid w:val="00A40B58"/>
    <w:rsid w:val="00A4271C"/>
    <w:rsid w:val="00A42902"/>
    <w:rsid w:val="00A4339E"/>
    <w:rsid w:val="00A435E5"/>
    <w:rsid w:val="00A45EA6"/>
    <w:rsid w:val="00A466A9"/>
    <w:rsid w:val="00A47D91"/>
    <w:rsid w:val="00A50EAF"/>
    <w:rsid w:val="00A51232"/>
    <w:rsid w:val="00A512D1"/>
    <w:rsid w:val="00A533E6"/>
    <w:rsid w:val="00A5511C"/>
    <w:rsid w:val="00A55172"/>
    <w:rsid w:val="00A5549F"/>
    <w:rsid w:val="00A55768"/>
    <w:rsid w:val="00A5588B"/>
    <w:rsid w:val="00A559AA"/>
    <w:rsid w:val="00A56318"/>
    <w:rsid w:val="00A563B1"/>
    <w:rsid w:val="00A56B8B"/>
    <w:rsid w:val="00A56FB4"/>
    <w:rsid w:val="00A5754B"/>
    <w:rsid w:val="00A575CF"/>
    <w:rsid w:val="00A57FC1"/>
    <w:rsid w:val="00A600E2"/>
    <w:rsid w:val="00A60470"/>
    <w:rsid w:val="00A60A1A"/>
    <w:rsid w:val="00A61676"/>
    <w:rsid w:val="00A61899"/>
    <w:rsid w:val="00A6197C"/>
    <w:rsid w:val="00A62D58"/>
    <w:rsid w:val="00A6338F"/>
    <w:rsid w:val="00A63423"/>
    <w:rsid w:val="00A63589"/>
    <w:rsid w:val="00A64AD9"/>
    <w:rsid w:val="00A64BE2"/>
    <w:rsid w:val="00A663A9"/>
    <w:rsid w:val="00A66D9B"/>
    <w:rsid w:val="00A676F2"/>
    <w:rsid w:val="00A67BF7"/>
    <w:rsid w:val="00A702E0"/>
    <w:rsid w:val="00A70BA7"/>
    <w:rsid w:val="00A70DCF"/>
    <w:rsid w:val="00A72047"/>
    <w:rsid w:val="00A724ED"/>
    <w:rsid w:val="00A7277D"/>
    <w:rsid w:val="00A737CD"/>
    <w:rsid w:val="00A73956"/>
    <w:rsid w:val="00A73EA1"/>
    <w:rsid w:val="00A7540A"/>
    <w:rsid w:val="00A757AB"/>
    <w:rsid w:val="00A7613A"/>
    <w:rsid w:val="00A76967"/>
    <w:rsid w:val="00A773C0"/>
    <w:rsid w:val="00A80E90"/>
    <w:rsid w:val="00A822FA"/>
    <w:rsid w:val="00A831E6"/>
    <w:rsid w:val="00A8327C"/>
    <w:rsid w:val="00A841F5"/>
    <w:rsid w:val="00A848E6"/>
    <w:rsid w:val="00A85501"/>
    <w:rsid w:val="00A85C8E"/>
    <w:rsid w:val="00A86395"/>
    <w:rsid w:val="00A86758"/>
    <w:rsid w:val="00A87779"/>
    <w:rsid w:val="00A903B9"/>
    <w:rsid w:val="00A9041A"/>
    <w:rsid w:val="00A92018"/>
    <w:rsid w:val="00A92287"/>
    <w:rsid w:val="00A92B70"/>
    <w:rsid w:val="00A932A3"/>
    <w:rsid w:val="00A956B2"/>
    <w:rsid w:val="00A95FE8"/>
    <w:rsid w:val="00A960DE"/>
    <w:rsid w:val="00A963EF"/>
    <w:rsid w:val="00A96B4F"/>
    <w:rsid w:val="00A970EE"/>
    <w:rsid w:val="00A9755C"/>
    <w:rsid w:val="00AA01E9"/>
    <w:rsid w:val="00AA0442"/>
    <w:rsid w:val="00AA0BD4"/>
    <w:rsid w:val="00AA1957"/>
    <w:rsid w:val="00AA209D"/>
    <w:rsid w:val="00AA212E"/>
    <w:rsid w:val="00AA2F07"/>
    <w:rsid w:val="00AA35EA"/>
    <w:rsid w:val="00AA3771"/>
    <w:rsid w:val="00AA3940"/>
    <w:rsid w:val="00AA49EC"/>
    <w:rsid w:val="00AA4AB1"/>
    <w:rsid w:val="00AA575D"/>
    <w:rsid w:val="00AA5B3E"/>
    <w:rsid w:val="00AA5F5A"/>
    <w:rsid w:val="00AB016D"/>
    <w:rsid w:val="00AB2933"/>
    <w:rsid w:val="00AB298A"/>
    <w:rsid w:val="00AB54F5"/>
    <w:rsid w:val="00AB5555"/>
    <w:rsid w:val="00AC0371"/>
    <w:rsid w:val="00AC0503"/>
    <w:rsid w:val="00AC05D6"/>
    <w:rsid w:val="00AC1C03"/>
    <w:rsid w:val="00AC43CD"/>
    <w:rsid w:val="00AC4CEC"/>
    <w:rsid w:val="00AC5FA6"/>
    <w:rsid w:val="00AC629B"/>
    <w:rsid w:val="00AC6DF7"/>
    <w:rsid w:val="00AC7740"/>
    <w:rsid w:val="00AC77FA"/>
    <w:rsid w:val="00AD0305"/>
    <w:rsid w:val="00AD1150"/>
    <w:rsid w:val="00AD1BBC"/>
    <w:rsid w:val="00AD1D52"/>
    <w:rsid w:val="00AD2E29"/>
    <w:rsid w:val="00AD35E5"/>
    <w:rsid w:val="00AD41DF"/>
    <w:rsid w:val="00AD45CA"/>
    <w:rsid w:val="00AD4F9D"/>
    <w:rsid w:val="00AD57BC"/>
    <w:rsid w:val="00AD5930"/>
    <w:rsid w:val="00AD6B7A"/>
    <w:rsid w:val="00AD6BF4"/>
    <w:rsid w:val="00AE0955"/>
    <w:rsid w:val="00AE0BE5"/>
    <w:rsid w:val="00AE2BC6"/>
    <w:rsid w:val="00AE3AEF"/>
    <w:rsid w:val="00AE40A8"/>
    <w:rsid w:val="00AE411E"/>
    <w:rsid w:val="00AE4EF3"/>
    <w:rsid w:val="00AE4EFB"/>
    <w:rsid w:val="00AE648F"/>
    <w:rsid w:val="00AE66A7"/>
    <w:rsid w:val="00AE6D3C"/>
    <w:rsid w:val="00AE78FD"/>
    <w:rsid w:val="00AE7F13"/>
    <w:rsid w:val="00AF095C"/>
    <w:rsid w:val="00AF223F"/>
    <w:rsid w:val="00AF232D"/>
    <w:rsid w:val="00AF2976"/>
    <w:rsid w:val="00AF535C"/>
    <w:rsid w:val="00AF594F"/>
    <w:rsid w:val="00AF6017"/>
    <w:rsid w:val="00AF718D"/>
    <w:rsid w:val="00B002E7"/>
    <w:rsid w:val="00B0165D"/>
    <w:rsid w:val="00B018D0"/>
    <w:rsid w:val="00B01BDC"/>
    <w:rsid w:val="00B03079"/>
    <w:rsid w:val="00B03DAD"/>
    <w:rsid w:val="00B0575B"/>
    <w:rsid w:val="00B06218"/>
    <w:rsid w:val="00B103BA"/>
    <w:rsid w:val="00B1120A"/>
    <w:rsid w:val="00B1123F"/>
    <w:rsid w:val="00B126E1"/>
    <w:rsid w:val="00B12994"/>
    <w:rsid w:val="00B129E2"/>
    <w:rsid w:val="00B13221"/>
    <w:rsid w:val="00B1391A"/>
    <w:rsid w:val="00B13AE4"/>
    <w:rsid w:val="00B13DB1"/>
    <w:rsid w:val="00B148FE"/>
    <w:rsid w:val="00B164AF"/>
    <w:rsid w:val="00B174E4"/>
    <w:rsid w:val="00B17586"/>
    <w:rsid w:val="00B20077"/>
    <w:rsid w:val="00B2313B"/>
    <w:rsid w:val="00B243BD"/>
    <w:rsid w:val="00B246A0"/>
    <w:rsid w:val="00B24A3E"/>
    <w:rsid w:val="00B2522E"/>
    <w:rsid w:val="00B252E1"/>
    <w:rsid w:val="00B2630A"/>
    <w:rsid w:val="00B264D8"/>
    <w:rsid w:val="00B27B85"/>
    <w:rsid w:val="00B27D87"/>
    <w:rsid w:val="00B30502"/>
    <w:rsid w:val="00B31AE2"/>
    <w:rsid w:val="00B32CF4"/>
    <w:rsid w:val="00B332E0"/>
    <w:rsid w:val="00B338A3"/>
    <w:rsid w:val="00B346EE"/>
    <w:rsid w:val="00B34973"/>
    <w:rsid w:val="00B34D58"/>
    <w:rsid w:val="00B3531D"/>
    <w:rsid w:val="00B353BB"/>
    <w:rsid w:val="00B36B65"/>
    <w:rsid w:val="00B36BA2"/>
    <w:rsid w:val="00B37365"/>
    <w:rsid w:val="00B37C82"/>
    <w:rsid w:val="00B40263"/>
    <w:rsid w:val="00B40891"/>
    <w:rsid w:val="00B40ACF"/>
    <w:rsid w:val="00B40BCD"/>
    <w:rsid w:val="00B40DF3"/>
    <w:rsid w:val="00B41491"/>
    <w:rsid w:val="00B4192E"/>
    <w:rsid w:val="00B42907"/>
    <w:rsid w:val="00B42C7D"/>
    <w:rsid w:val="00B42F97"/>
    <w:rsid w:val="00B43132"/>
    <w:rsid w:val="00B44007"/>
    <w:rsid w:val="00B46D40"/>
    <w:rsid w:val="00B4773B"/>
    <w:rsid w:val="00B47F5E"/>
    <w:rsid w:val="00B51D6A"/>
    <w:rsid w:val="00B52C74"/>
    <w:rsid w:val="00B54869"/>
    <w:rsid w:val="00B55828"/>
    <w:rsid w:val="00B57877"/>
    <w:rsid w:val="00B6001D"/>
    <w:rsid w:val="00B61290"/>
    <w:rsid w:val="00B62D1D"/>
    <w:rsid w:val="00B634A1"/>
    <w:rsid w:val="00B640B3"/>
    <w:rsid w:val="00B6420A"/>
    <w:rsid w:val="00B642CF"/>
    <w:rsid w:val="00B64528"/>
    <w:rsid w:val="00B648B9"/>
    <w:rsid w:val="00B65855"/>
    <w:rsid w:val="00B65911"/>
    <w:rsid w:val="00B666AA"/>
    <w:rsid w:val="00B668A9"/>
    <w:rsid w:val="00B66C93"/>
    <w:rsid w:val="00B70BDD"/>
    <w:rsid w:val="00B7142E"/>
    <w:rsid w:val="00B7173F"/>
    <w:rsid w:val="00B71974"/>
    <w:rsid w:val="00B723BE"/>
    <w:rsid w:val="00B733BB"/>
    <w:rsid w:val="00B73434"/>
    <w:rsid w:val="00B751A7"/>
    <w:rsid w:val="00B75573"/>
    <w:rsid w:val="00B75BA0"/>
    <w:rsid w:val="00B763E1"/>
    <w:rsid w:val="00B765B5"/>
    <w:rsid w:val="00B7766C"/>
    <w:rsid w:val="00B77718"/>
    <w:rsid w:val="00B809D2"/>
    <w:rsid w:val="00B80AC8"/>
    <w:rsid w:val="00B80E5D"/>
    <w:rsid w:val="00B82730"/>
    <w:rsid w:val="00B83A4D"/>
    <w:rsid w:val="00B84F86"/>
    <w:rsid w:val="00B870E5"/>
    <w:rsid w:val="00B87B57"/>
    <w:rsid w:val="00B91F0B"/>
    <w:rsid w:val="00B92CE0"/>
    <w:rsid w:val="00B93C13"/>
    <w:rsid w:val="00B9424E"/>
    <w:rsid w:val="00B950AE"/>
    <w:rsid w:val="00B956C3"/>
    <w:rsid w:val="00B96C8E"/>
    <w:rsid w:val="00BA0F3C"/>
    <w:rsid w:val="00BA1031"/>
    <w:rsid w:val="00BA11CC"/>
    <w:rsid w:val="00BA1987"/>
    <w:rsid w:val="00BA19E0"/>
    <w:rsid w:val="00BA1B77"/>
    <w:rsid w:val="00BA1D07"/>
    <w:rsid w:val="00BA235F"/>
    <w:rsid w:val="00BA2839"/>
    <w:rsid w:val="00BA52AA"/>
    <w:rsid w:val="00BA5364"/>
    <w:rsid w:val="00BA5C24"/>
    <w:rsid w:val="00BA644C"/>
    <w:rsid w:val="00BA6C2E"/>
    <w:rsid w:val="00BA6CAC"/>
    <w:rsid w:val="00BB0870"/>
    <w:rsid w:val="00BB1334"/>
    <w:rsid w:val="00BB1B7F"/>
    <w:rsid w:val="00BB252B"/>
    <w:rsid w:val="00BB3FB3"/>
    <w:rsid w:val="00BB420F"/>
    <w:rsid w:val="00BB4D05"/>
    <w:rsid w:val="00BB529C"/>
    <w:rsid w:val="00BB76F8"/>
    <w:rsid w:val="00BB7E93"/>
    <w:rsid w:val="00BC1064"/>
    <w:rsid w:val="00BC3011"/>
    <w:rsid w:val="00BC3294"/>
    <w:rsid w:val="00BC3919"/>
    <w:rsid w:val="00BC3AF6"/>
    <w:rsid w:val="00BC4C66"/>
    <w:rsid w:val="00BC628F"/>
    <w:rsid w:val="00BC6788"/>
    <w:rsid w:val="00BC6B48"/>
    <w:rsid w:val="00BC7127"/>
    <w:rsid w:val="00BC7477"/>
    <w:rsid w:val="00BD011F"/>
    <w:rsid w:val="00BD0E00"/>
    <w:rsid w:val="00BD1577"/>
    <w:rsid w:val="00BD3A8C"/>
    <w:rsid w:val="00BD3BCE"/>
    <w:rsid w:val="00BD416A"/>
    <w:rsid w:val="00BD4353"/>
    <w:rsid w:val="00BD4615"/>
    <w:rsid w:val="00BD5345"/>
    <w:rsid w:val="00BD5BE5"/>
    <w:rsid w:val="00BD5CDA"/>
    <w:rsid w:val="00BD601E"/>
    <w:rsid w:val="00BD6112"/>
    <w:rsid w:val="00BD69B6"/>
    <w:rsid w:val="00BD797E"/>
    <w:rsid w:val="00BD7B02"/>
    <w:rsid w:val="00BE0BF6"/>
    <w:rsid w:val="00BE17F6"/>
    <w:rsid w:val="00BE20D0"/>
    <w:rsid w:val="00BE23C4"/>
    <w:rsid w:val="00BE2881"/>
    <w:rsid w:val="00BE2A3E"/>
    <w:rsid w:val="00BE369E"/>
    <w:rsid w:val="00BE373A"/>
    <w:rsid w:val="00BE4246"/>
    <w:rsid w:val="00BE44FC"/>
    <w:rsid w:val="00BE5AC5"/>
    <w:rsid w:val="00BE6191"/>
    <w:rsid w:val="00BE7D8E"/>
    <w:rsid w:val="00BF02C3"/>
    <w:rsid w:val="00BF12B3"/>
    <w:rsid w:val="00BF3034"/>
    <w:rsid w:val="00BF37D3"/>
    <w:rsid w:val="00BF4B86"/>
    <w:rsid w:val="00BF54BC"/>
    <w:rsid w:val="00BF54F0"/>
    <w:rsid w:val="00BF5BED"/>
    <w:rsid w:val="00BF5CD9"/>
    <w:rsid w:val="00BF5D25"/>
    <w:rsid w:val="00BF647A"/>
    <w:rsid w:val="00BF69FD"/>
    <w:rsid w:val="00BF7D4A"/>
    <w:rsid w:val="00C007D3"/>
    <w:rsid w:val="00C0096F"/>
    <w:rsid w:val="00C01556"/>
    <w:rsid w:val="00C016A6"/>
    <w:rsid w:val="00C01F46"/>
    <w:rsid w:val="00C02D25"/>
    <w:rsid w:val="00C036F7"/>
    <w:rsid w:val="00C039A6"/>
    <w:rsid w:val="00C03B98"/>
    <w:rsid w:val="00C03C25"/>
    <w:rsid w:val="00C04BDD"/>
    <w:rsid w:val="00C0678D"/>
    <w:rsid w:val="00C068B8"/>
    <w:rsid w:val="00C06FD7"/>
    <w:rsid w:val="00C07469"/>
    <w:rsid w:val="00C10408"/>
    <w:rsid w:val="00C10C60"/>
    <w:rsid w:val="00C10F72"/>
    <w:rsid w:val="00C11EBD"/>
    <w:rsid w:val="00C12198"/>
    <w:rsid w:val="00C12817"/>
    <w:rsid w:val="00C12BD1"/>
    <w:rsid w:val="00C13175"/>
    <w:rsid w:val="00C13C2E"/>
    <w:rsid w:val="00C14F7D"/>
    <w:rsid w:val="00C15B90"/>
    <w:rsid w:val="00C15F60"/>
    <w:rsid w:val="00C16572"/>
    <w:rsid w:val="00C167B5"/>
    <w:rsid w:val="00C16B96"/>
    <w:rsid w:val="00C17B30"/>
    <w:rsid w:val="00C20E85"/>
    <w:rsid w:val="00C2136F"/>
    <w:rsid w:val="00C222E1"/>
    <w:rsid w:val="00C2288E"/>
    <w:rsid w:val="00C22EC1"/>
    <w:rsid w:val="00C2399A"/>
    <w:rsid w:val="00C239B1"/>
    <w:rsid w:val="00C25492"/>
    <w:rsid w:val="00C26660"/>
    <w:rsid w:val="00C26C2E"/>
    <w:rsid w:val="00C31780"/>
    <w:rsid w:val="00C318B6"/>
    <w:rsid w:val="00C327D7"/>
    <w:rsid w:val="00C337D0"/>
    <w:rsid w:val="00C347C8"/>
    <w:rsid w:val="00C35E80"/>
    <w:rsid w:val="00C3613A"/>
    <w:rsid w:val="00C36772"/>
    <w:rsid w:val="00C36AE4"/>
    <w:rsid w:val="00C36E32"/>
    <w:rsid w:val="00C3735F"/>
    <w:rsid w:val="00C3770A"/>
    <w:rsid w:val="00C37CAF"/>
    <w:rsid w:val="00C37E0F"/>
    <w:rsid w:val="00C4078E"/>
    <w:rsid w:val="00C40E61"/>
    <w:rsid w:val="00C412CD"/>
    <w:rsid w:val="00C416C4"/>
    <w:rsid w:val="00C41B20"/>
    <w:rsid w:val="00C41CD0"/>
    <w:rsid w:val="00C429BD"/>
    <w:rsid w:val="00C441CA"/>
    <w:rsid w:val="00C456CE"/>
    <w:rsid w:val="00C45761"/>
    <w:rsid w:val="00C45E04"/>
    <w:rsid w:val="00C45E4B"/>
    <w:rsid w:val="00C45E96"/>
    <w:rsid w:val="00C460F0"/>
    <w:rsid w:val="00C46B8B"/>
    <w:rsid w:val="00C471C1"/>
    <w:rsid w:val="00C5047D"/>
    <w:rsid w:val="00C50C21"/>
    <w:rsid w:val="00C51812"/>
    <w:rsid w:val="00C5197D"/>
    <w:rsid w:val="00C523C3"/>
    <w:rsid w:val="00C524D1"/>
    <w:rsid w:val="00C52A91"/>
    <w:rsid w:val="00C53AE1"/>
    <w:rsid w:val="00C54D55"/>
    <w:rsid w:val="00C54F6F"/>
    <w:rsid w:val="00C55789"/>
    <w:rsid w:val="00C56048"/>
    <w:rsid w:val="00C56D7F"/>
    <w:rsid w:val="00C57220"/>
    <w:rsid w:val="00C57468"/>
    <w:rsid w:val="00C57839"/>
    <w:rsid w:val="00C60490"/>
    <w:rsid w:val="00C615CD"/>
    <w:rsid w:val="00C618F7"/>
    <w:rsid w:val="00C61A07"/>
    <w:rsid w:val="00C61BE3"/>
    <w:rsid w:val="00C61CAB"/>
    <w:rsid w:val="00C63E82"/>
    <w:rsid w:val="00C63FD9"/>
    <w:rsid w:val="00C64246"/>
    <w:rsid w:val="00C652D1"/>
    <w:rsid w:val="00C66372"/>
    <w:rsid w:val="00C66445"/>
    <w:rsid w:val="00C669D0"/>
    <w:rsid w:val="00C67803"/>
    <w:rsid w:val="00C703AD"/>
    <w:rsid w:val="00C710C5"/>
    <w:rsid w:val="00C71764"/>
    <w:rsid w:val="00C71CA4"/>
    <w:rsid w:val="00C720CF"/>
    <w:rsid w:val="00C721DD"/>
    <w:rsid w:val="00C7241B"/>
    <w:rsid w:val="00C729B4"/>
    <w:rsid w:val="00C72B85"/>
    <w:rsid w:val="00C74885"/>
    <w:rsid w:val="00C76C0E"/>
    <w:rsid w:val="00C76D80"/>
    <w:rsid w:val="00C77BE4"/>
    <w:rsid w:val="00C77F3B"/>
    <w:rsid w:val="00C80296"/>
    <w:rsid w:val="00C80B61"/>
    <w:rsid w:val="00C825BC"/>
    <w:rsid w:val="00C838CA"/>
    <w:rsid w:val="00C83E8E"/>
    <w:rsid w:val="00C84165"/>
    <w:rsid w:val="00C847A7"/>
    <w:rsid w:val="00C84E35"/>
    <w:rsid w:val="00C85035"/>
    <w:rsid w:val="00C85F6A"/>
    <w:rsid w:val="00C8777E"/>
    <w:rsid w:val="00C879DA"/>
    <w:rsid w:val="00C90172"/>
    <w:rsid w:val="00C90AD8"/>
    <w:rsid w:val="00C92DC2"/>
    <w:rsid w:val="00C94433"/>
    <w:rsid w:val="00C949ED"/>
    <w:rsid w:val="00C94D62"/>
    <w:rsid w:val="00C94FEE"/>
    <w:rsid w:val="00C95740"/>
    <w:rsid w:val="00C97B34"/>
    <w:rsid w:val="00CA0C82"/>
    <w:rsid w:val="00CA0E00"/>
    <w:rsid w:val="00CA2D3B"/>
    <w:rsid w:val="00CA34C9"/>
    <w:rsid w:val="00CA3CC4"/>
    <w:rsid w:val="00CA3F0C"/>
    <w:rsid w:val="00CA42A4"/>
    <w:rsid w:val="00CA4415"/>
    <w:rsid w:val="00CA4919"/>
    <w:rsid w:val="00CA4A6D"/>
    <w:rsid w:val="00CA4CF4"/>
    <w:rsid w:val="00CA5AA5"/>
    <w:rsid w:val="00CA713E"/>
    <w:rsid w:val="00CA71F1"/>
    <w:rsid w:val="00CA7B04"/>
    <w:rsid w:val="00CA7CE5"/>
    <w:rsid w:val="00CB03E9"/>
    <w:rsid w:val="00CB1A8F"/>
    <w:rsid w:val="00CB24A0"/>
    <w:rsid w:val="00CB29C4"/>
    <w:rsid w:val="00CB2FC7"/>
    <w:rsid w:val="00CB3355"/>
    <w:rsid w:val="00CB53DA"/>
    <w:rsid w:val="00CB5DF2"/>
    <w:rsid w:val="00CB664D"/>
    <w:rsid w:val="00CB73E9"/>
    <w:rsid w:val="00CB7C99"/>
    <w:rsid w:val="00CC1412"/>
    <w:rsid w:val="00CC2F10"/>
    <w:rsid w:val="00CC3880"/>
    <w:rsid w:val="00CC38F3"/>
    <w:rsid w:val="00CC4268"/>
    <w:rsid w:val="00CC4291"/>
    <w:rsid w:val="00CC47DF"/>
    <w:rsid w:val="00CC50C7"/>
    <w:rsid w:val="00CC6A54"/>
    <w:rsid w:val="00CC7616"/>
    <w:rsid w:val="00CD09DF"/>
    <w:rsid w:val="00CD0EE0"/>
    <w:rsid w:val="00CD1043"/>
    <w:rsid w:val="00CD2426"/>
    <w:rsid w:val="00CD40EF"/>
    <w:rsid w:val="00CD4E8E"/>
    <w:rsid w:val="00CD6D75"/>
    <w:rsid w:val="00CD7105"/>
    <w:rsid w:val="00CD7253"/>
    <w:rsid w:val="00CE0007"/>
    <w:rsid w:val="00CE1B1B"/>
    <w:rsid w:val="00CE3076"/>
    <w:rsid w:val="00CE3A0C"/>
    <w:rsid w:val="00CE40A3"/>
    <w:rsid w:val="00CE442F"/>
    <w:rsid w:val="00CE4C7F"/>
    <w:rsid w:val="00CE5860"/>
    <w:rsid w:val="00CE66E2"/>
    <w:rsid w:val="00CE6C3E"/>
    <w:rsid w:val="00CE7694"/>
    <w:rsid w:val="00CF07E8"/>
    <w:rsid w:val="00CF08DB"/>
    <w:rsid w:val="00CF0F0F"/>
    <w:rsid w:val="00CF16CE"/>
    <w:rsid w:val="00CF43AD"/>
    <w:rsid w:val="00CF4E5F"/>
    <w:rsid w:val="00CF52C2"/>
    <w:rsid w:val="00CF5AA6"/>
    <w:rsid w:val="00CF6001"/>
    <w:rsid w:val="00CF6597"/>
    <w:rsid w:val="00CF6987"/>
    <w:rsid w:val="00CF777F"/>
    <w:rsid w:val="00CF7AD3"/>
    <w:rsid w:val="00D00519"/>
    <w:rsid w:val="00D01F15"/>
    <w:rsid w:val="00D05276"/>
    <w:rsid w:val="00D0602B"/>
    <w:rsid w:val="00D06B9F"/>
    <w:rsid w:val="00D10F41"/>
    <w:rsid w:val="00D1193E"/>
    <w:rsid w:val="00D11EA0"/>
    <w:rsid w:val="00D1245D"/>
    <w:rsid w:val="00D12A75"/>
    <w:rsid w:val="00D1334A"/>
    <w:rsid w:val="00D140A0"/>
    <w:rsid w:val="00D1420E"/>
    <w:rsid w:val="00D14225"/>
    <w:rsid w:val="00D14C7D"/>
    <w:rsid w:val="00D14D3C"/>
    <w:rsid w:val="00D1560C"/>
    <w:rsid w:val="00D1701D"/>
    <w:rsid w:val="00D176E6"/>
    <w:rsid w:val="00D17750"/>
    <w:rsid w:val="00D205A3"/>
    <w:rsid w:val="00D214B2"/>
    <w:rsid w:val="00D218B1"/>
    <w:rsid w:val="00D218C7"/>
    <w:rsid w:val="00D22D1A"/>
    <w:rsid w:val="00D23459"/>
    <w:rsid w:val="00D2368A"/>
    <w:rsid w:val="00D24F38"/>
    <w:rsid w:val="00D275C0"/>
    <w:rsid w:val="00D3059D"/>
    <w:rsid w:val="00D306A8"/>
    <w:rsid w:val="00D307D8"/>
    <w:rsid w:val="00D3379D"/>
    <w:rsid w:val="00D34315"/>
    <w:rsid w:val="00D34687"/>
    <w:rsid w:val="00D36553"/>
    <w:rsid w:val="00D3761E"/>
    <w:rsid w:val="00D40091"/>
    <w:rsid w:val="00D41248"/>
    <w:rsid w:val="00D414DA"/>
    <w:rsid w:val="00D41817"/>
    <w:rsid w:val="00D45916"/>
    <w:rsid w:val="00D4619A"/>
    <w:rsid w:val="00D4635D"/>
    <w:rsid w:val="00D46D5C"/>
    <w:rsid w:val="00D47E6D"/>
    <w:rsid w:val="00D47F91"/>
    <w:rsid w:val="00D51AE1"/>
    <w:rsid w:val="00D52262"/>
    <w:rsid w:val="00D527AD"/>
    <w:rsid w:val="00D52F9D"/>
    <w:rsid w:val="00D531FE"/>
    <w:rsid w:val="00D54450"/>
    <w:rsid w:val="00D545B7"/>
    <w:rsid w:val="00D546ED"/>
    <w:rsid w:val="00D548C6"/>
    <w:rsid w:val="00D55173"/>
    <w:rsid w:val="00D551DE"/>
    <w:rsid w:val="00D55BF7"/>
    <w:rsid w:val="00D56005"/>
    <w:rsid w:val="00D56975"/>
    <w:rsid w:val="00D570D9"/>
    <w:rsid w:val="00D57657"/>
    <w:rsid w:val="00D577A8"/>
    <w:rsid w:val="00D604B2"/>
    <w:rsid w:val="00D60517"/>
    <w:rsid w:val="00D62237"/>
    <w:rsid w:val="00D6236B"/>
    <w:rsid w:val="00D6424F"/>
    <w:rsid w:val="00D644A8"/>
    <w:rsid w:val="00D64E1F"/>
    <w:rsid w:val="00D66F66"/>
    <w:rsid w:val="00D700EE"/>
    <w:rsid w:val="00D70256"/>
    <w:rsid w:val="00D70655"/>
    <w:rsid w:val="00D706DC"/>
    <w:rsid w:val="00D7132D"/>
    <w:rsid w:val="00D7323C"/>
    <w:rsid w:val="00D734E6"/>
    <w:rsid w:val="00D749E9"/>
    <w:rsid w:val="00D74EC9"/>
    <w:rsid w:val="00D7534E"/>
    <w:rsid w:val="00D754B9"/>
    <w:rsid w:val="00D77DE6"/>
    <w:rsid w:val="00D77E95"/>
    <w:rsid w:val="00D804BE"/>
    <w:rsid w:val="00D806B4"/>
    <w:rsid w:val="00D809BE"/>
    <w:rsid w:val="00D81109"/>
    <w:rsid w:val="00D817AA"/>
    <w:rsid w:val="00D8286B"/>
    <w:rsid w:val="00D84010"/>
    <w:rsid w:val="00D84954"/>
    <w:rsid w:val="00D858CC"/>
    <w:rsid w:val="00D8669B"/>
    <w:rsid w:val="00D939F6"/>
    <w:rsid w:val="00D9451F"/>
    <w:rsid w:val="00D96D5F"/>
    <w:rsid w:val="00DA105F"/>
    <w:rsid w:val="00DA2B7A"/>
    <w:rsid w:val="00DA2DBF"/>
    <w:rsid w:val="00DA34A8"/>
    <w:rsid w:val="00DA3F32"/>
    <w:rsid w:val="00DA4B0A"/>
    <w:rsid w:val="00DA51ED"/>
    <w:rsid w:val="00DA5ACC"/>
    <w:rsid w:val="00DA6787"/>
    <w:rsid w:val="00DB244E"/>
    <w:rsid w:val="00DB441B"/>
    <w:rsid w:val="00DB4998"/>
    <w:rsid w:val="00DB508B"/>
    <w:rsid w:val="00DB53FC"/>
    <w:rsid w:val="00DB67A5"/>
    <w:rsid w:val="00DB75AB"/>
    <w:rsid w:val="00DB7663"/>
    <w:rsid w:val="00DC1070"/>
    <w:rsid w:val="00DC1846"/>
    <w:rsid w:val="00DC30DB"/>
    <w:rsid w:val="00DC3495"/>
    <w:rsid w:val="00DC3C2D"/>
    <w:rsid w:val="00DC4C63"/>
    <w:rsid w:val="00DC5080"/>
    <w:rsid w:val="00DC5B4A"/>
    <w:rsid w:val="00DC692B"/>
    <w:rsid w:val="00DC6AB7"/>
    <w:rsid w:val="00DC7096"/>
    <w:rsid w:val="00DC7269"/>
    <w:rsid w:val="00DC73FD"/>
    <w:rsid w:val="00DC7AA2"/>
    <w:rsid w:val="00DD01AC"/>
    <w:rsid w:val="00DD07AE"/>
    <w:rsid w:val="00DD10F4"/>
    <w:rsid w:val="00DD1992"/>
    <w:rsid w:val="00DD1B3C"/>
    <w:rsid w:val="00DD2833"/>
    <w:rsid w:val="00DD28D3"/>
    <w:rsid w:val="00DD2A48"/>
    <w:rsid w:val="00DD2C04"/>
    <w:rsid w:val="00DD3B2B"/>
    <w:rsid w:val="00DD43DB"/>
    <w:rsid w:val="00DD51A6"/>
    <w:rsid w:val="00DD59A4"/>
    <w:rsid w:val="00DD61DB"/>
    <w:rsid w:val="00DD6251"/>
    <w:rsid w:val="00DD6A13"/>
    <w:rsid w:val="00DD7D4A"/>
    <w:rsid w:val="00DE05B7"/>
    <w:rsid w:val="00DE098A"/>
    <w:rsid w:val="00DE13C5"/>
    <w:rsid w:val="00DE21AF"/>
    <w:rsid w:val="00DE265E"/>
    <w:rsid w:val="00DE2ABE"/>
    <w:rsid w:val="00DE3219"/>
    <w:rsid w:val="00DE40E7"/>
    <w:rsid w:val="00DE494C"/>
    <w:rsid w:val="00DE57E5"/>
    <w:rsid w:val="00DE5AA2"/>
    <w:rsid w:val="00DE5D70"/>
    <w:rsid w:val="00DE5D7A"/>
    <w:rsid w:val="00DE691A"/>
    <w:rsid w:val="00DF00C1"/>
    <w:rsid w:val="00DF0743"/>
    <w:rsid w:val="00DF1192"/>
    <w:rsid w:val="00DF4EB1"/>
    <w:rsid w:val="00DF5207"/>
    <w:rsid w:val="00DF52E8"/>
    <w:rsid w:val="00DF6301"/>
    <w:rsid w:val="00DF67CB"/>
    <w:rsid w:val="00DF6920"/>
    <w:rsid w:val="00DF7AD4"/>
    <w:rsid w:val="00E006EE"/>
    <w:rsid w:val="00E0173F"/>
    <w:rsid w:val="00E0187C"/>
    <w:rsid w:val="00E0187F"/>
    <w:rsid w:val="00E020BE"/>
    <w:rsid w:val="00E03384"/>
    <w:rsid w:val="00E0444E"/>
    <w:rsid w:val="00E0579B"/>
    <w:rsid w:val="00E05C35"/>
    <w:rsid w:val="00E06EEC"/>
    <w:rsid w:val="00E06F11"/>
    <w:rsid w:val="00E071D1"/>
    <w:rsid w:val="00E0721A"/>
    <w:rsid w:val="00E110D2"/>
    <w:rsid w:val="00E11E1A"/>
    <w:rsid w:val="00E1352D"/>
    <w:rsid w:val="00E1364C"/>
    <w:rsid w:val="00E14090"/>
    <w:rsid w:val="00E1503B"/>
    <w:rsid w:val="00E1507E"/>
    <w:rsid w:val="00E16E54"/>
    <w:rsid w:val="00E16F91"/>
    <w:rsid w:val="00E21A28"/>
    <w:rsid w:val="00E221A9"/>
    <w:rsid w:val="00E23095"/>
    <w:rsid w:val="00E23D69"/>
    <w:rsid w:val="00E23EA2"/>
    <w:rsid w:val="00E242E4"/>
    <w:rsid w:val="00E25247"/>
    <w:rsid w:val="00E26E47"/>
    <w:rsid w:val="00E27DC9"/>
    <w:rsid w:val="00E30946"/>
    <w:rsid w:val="00E30B9F"/>
    <w:rsid w:val="00E31CC8"/>
    <w:rsid w:val="00E31FE1"/>
    <w:rsid w:val="00E3344F"/>
    <w:rsid w:val="00E33573"/>
    <w:rsid w:val="00E363FE"/>
    <w:rsid w:val="00E3652F"/>
    <w:rsid w:val="00E421BA"/>
    <w:rsid w:val="00E43B31"/>
    <w:rsid w:val="00E43E78"/>
    <w:rsid w:val="00E44971"/>
    <w:rsid w:val="00E44C4A"/>
    <w:rsid w:val="00E46A78"/>
    <w:rsid w:val="00E47813"/>
    <w:rsid w:val="00E508CF"/>
    <w:rsid w:val="00E50BFC"/>
    <w:rsid w:val="00E50FD9"/>
    <w:rsid w:val="00E532BD"/>
    <w:rsid w:val="00E544CB"/>
    <w:rsid w:val="00E54972"/>
    <w:rsid w:val="00E54B12"/>
    <w:rsid w:val="00E563CB"/>
    <w:rsid w:val="00E574FE"/>
    <w:rsid w:val="00E575C9"/>
    <w:rsid w:val="00E575DF"/>
    <w:rsid w:val="00E60488"/>
    <w:rsid w:val="00E61FE1"/>
    <w:rsid w:val="00E62313"/>
    <w:rsid w:val="00E62636"/>
    <w:rsid w:val="00E638DE"/>
    <w:rsid w:val="00E64272"/>
    <w:rsid w:val="00E64DCC"/>
    <w:rsid w:val="00E64F0A"/>
    <w:rsid w:val="00E65EEF"/>
    <w:rsid w:val="00E6689B"/>
    <w:rsid w:val="00E66BF3"/>
    <w:rsid w:val="00E66F4A"/>
    <w:rsid w:val="00E6725A"/>
    <w:rsid w:val="00E6777A"/>
    <w:rsid w:val="00E740CA"/>
    <w:rsid w:val="00E742E0"/>
    <w:rsid w:val="00E746B0"/>
    <w:rsid w:val="00E7481D"/>
    <w:rsid w:val="00E756B4"/>
    <w:rsid w:val="00E76CD1"/>
    <w:rsid w:val="00E77791"/>
    <w:rsid w:val="00E77803"/>
    <w:rsid w:val="00E77D1A"/>
    <w:rsid w:val="00E80D78"/>
    <w:rsid w:val="00E82FE3"/>
    <w:rsid w:val="00E84E3B"/>
    <w:rsid w:val="00E85068"/>
    <w:rsid w:val="00E85531"/>
    <w:rsid w:val="00E858FF"/>
    <w:rsid w:val="00E86134"/>
    <w:rsid w:val="00E868F7"/>
    <w:rsid w:val="00E86CDF"/>
    <w:rsid w:val="00E8751F"/>
    <w:rsid w:val="00E87E1C"/>
    <w:rsid w:val="00E903F3"/>
    <w:rsid w:val="00E90520"/>
    <w:rsid w:val="00E90F6E"/>
    <w:rsid w:val="00E915C3"/>
    <w:rsid w:val="00E915E8"/>
    <w:rsid w:val="00E94A39"/>
    <w:rsid w:val="00E95632"/>
    <w:rsid w:val="00E9577D"/>
    <w:rsid w:val="00E95B13"/>
    <w:rsid w:val="00E96149"/>
    <w:rsid w:val="00E968E6"/>
    <w:rsid w:val="00E96EF4"/>
    <w:rsid w:val="00E976C6"/>
    <w:rsid w:val="00E97F66"/>
    <w:rsid w:val="00EA26E9"/>
    <w:rsid w:val="00EA294B"/>
    <w:rsid w:val="00EA2CC7"/>
    <w:rsid w:val="00EA3950"/>
    <w:rsid w:val="00EA3E5C"/>
    <w:rsid w:val="00EA6094"/>
    <w:rsid w:val="00EA664C"/>
    <w:rsid w:val="00EA6EE2"/>
    <w:rsid w:val="00EB0166"/>
    <w:rsid w:val="00EB0A93"/>
    <w:rsid w:val="00EB0D3E"/>
    <w:rsid w:val="00EB2437"/>
    <w:rsid w:val="00EB34CA"/>
    <w:rsid w:val="00EB4573"/>
    <w:rsid w:val="00EB5C47"/>
    <w:rsid w:val="00EB633A"/>
    <w:rsid w:val="00EB64C7"/>
    <w:rsid w:val="00EB6ABE"/>
    <w:rsid w:val="00EB6BD5"/>
    <w:rsid w:val="00EB7275"/>
    <w:rsid w:val="00EC2099"/>
    <w:rsid w:val="00EC22E0"/>
    <w:rsid w:val="00EC2AED"/>
    <w:rsid w:val="00EC2C11"/>
    <w:rsid w:val="00EC3608"/>
    <w:rsid w:val="00EC397A"/>
    <w:rsid w:val="00EC3DFC"/>
    <w:rsid w:val="00EC4AE8"/>
    <w:rsid w:val="00EC4BBD"/>
    <w:rsid w:val="00EC4F33"/>
    <w:rsid w:val="00EC5710"/>
    <w:rsid w:val="00EC5B2A"/>
    <w:rsid w:val="00EC7297"/>
    <w:rsid w:val="00EC7AF2"/>
    <w:rsid w:val="00ED0652"/>
    <w:rsid w:val="00ED1442"/>
    <w:rsid w:val="00ED1F1E"/>
    <w:rsid w:val="00ED219D"/>
    <w:rsid w:val="00ED38AC"/>
    <w:rsid w:val="00ED43D7"/>
    <w:rsid w:val="00ED4842"/>
    <w:rsid w:val="00ED6400"/>
    <w:rsid w:val="00ED6811"/>
    <w:rsid w:val="00ED6B29"/>
    <w:rsid w:val="00ED70F1"/>
    <w:rsid w:val="00ED7AA0"/>
    <w:rsid w:val="00EE062E"/>
    <w:rsid w:val="00EE170C"/>
    <w:rsid w:val="00EE1922"/>
    <w:rsid w:val="00EE26B3"/>
    <w:rsid w:val="00EE2A03"/>
    <w:rsid w:val="00EE3072"/>
    <w:rsid w:val="00EE383B"/>
    <w:rsid w:val="00EE3A08"/>
    <w:rsid w:val="00EE3BB5"/>
    <w:rsid w:val="00EE40FA"/>
    <w:rsid w:val="00EE42FE"/>
    <w:rsid w:val="00EE43AA"/>
    <w:rsid w:val="00EE47EF"/>
    <w:rsid w:val="00EE4E2F"/>
    <w:rsid w:val="00EE5C9C"/>
    <w:rsid w:val="00EF2597"/>
    <w:rsid w:val="00EF2881"/>
    <w:rsid w:val="00EF3431"/>
    <w:rsid w:val="00EF383F"/>
    <w:rsid w:val="00EF44FF"/>
    <w:rsid w:val="00EF47F2"/>
    <w:rsid w:val="00EF5562"/>
    <w:rsid w:val="00EF57BB"/>
    <w:rsid w:val="00EF674F"/>
    <w:rsid w:val="00EF67F0"/>
    <w:rsid w:val="00F00078"/>
    <w:rsid w:val="00F0040F"/>
    <w:rsid w:val="00F015C9"/>
    <w:rsid w:val="00F020E1"/>
    <w:rsid w:val="00F02893"/>
    <w:rsid w:val="00F03D28"/>
    <w:rsid w:val="00F04152"/>
    <w:rsid w:val="00F051D8"/>
    <w:rsid w:val="00F065DF"/>
    <w:rsid w:val="00F070C0"/>
    <w:rsid w:val="00F12FF4"/>
    <w:rsid w:val="00F158F2"/>
    <w:rsid w:val="00F1609C"/>
    <w:rsid w:val="00F16102"/>
    <w:rsid w:val="00F202BE"/>
    <w:rsid w:val="00F20E7A"/>
    <w:rsid w:val="00F215E5"/>
    <w:rsid w:val="00F216D6"/>
    <w:rsid w:val="00F21C7C"/>
    <w:rsid w:val="00F226FB"/>
    <w:rsid w:val="00F233E7"/>
    <w:rsid w:val="00F24491"/>
    <w:rsid w:val="00F25234"/>
    <w:rsid w:val="00F2696F"/>
    <w:rsid w:val="00F26EA8"/>
    <w:rsid w:val="00F27693"/>
    <w:rsid w:val="00F300D3"/>
    <w:rsid w:val="00F30F74"/>
    <w:rsid w:val="00F321ED"/>
    <w:rsid w:val="00F32765"/>
    <w:rsid w:val="00F33BCB"/>
    <w:rsid w:val="00F34357"/>
    <w:rsid w:val="00F344D9"/>
    <w:rsid w:val="00F34EFF"/>
    <w:rsid w:val="00F35494"/>
    <w:rsid w:val="00F36946"/>
    <w:rsid w:val="00F373F6"/>
    <w:rsid w:val="00F37F03"/>
    <w:rsid w:val="00F41652"/>
    <w:rsid w:val="00F42B53"/>
    <w:rsid w:val="00F433CB"/>
    <w:rsid w:val="00F4355D"/>
    <w:rsid w:val="00F43B8C"/>
    <w:rsid w:val="00F43E9D"/>
    <w:rsid w:val="00F43F1B"/>
    <w:rsid w:val="00F44E50"/>
    <w:rsid w:val="00F44F72"/>
    <w:rsid w:val="00F468DE"/>
    <w:rsid w:val="00F47F8D"/>
    <w:rsid w:val="00F50293"/>
    <w:rsid w:val="00F50F3E"/>
    <w:rsid w:val="00F51D02"/>
    <w:rsid w:val="00F530BD"/>
    <w:rsid w:val="00F53523"/>
    <w:rsid w:val="00F53602"/>
    <w:rsid w:val="00F53DFF"/>
    <w:rsid w:val="00F55ABF"/>
    <w:rsid w:val="00F55EA8"/>
    <w:rsid w:val="00F60FF7"/>
    <w:rsid w:val="00F6172F"/>
    <w:rsid w:val="00F62FD6"/>
    <w:rsid w:val="00F636AE"/>
    <w:rsid w:val="00F636D1"/>
    <w:rsid w:val="00F63A9C"/>
    <w:rsid w:val="00F63ED9"/>
    <w:rsid w:val="00F64002"/>
    <w:rsid w:val="00F64CD2"/>
    <w:rsid w:val="00F64DC0"/>
    <w:rsid w:val="00F650F2"/>
    <w:rsid w:val="00F65DBA"/>
    <w:rsid w:val="00F6732E"/>
    <w:rsid w:val="00F70351"/>
    <w:rsid w:val="00F70A75"/>
    <w:rsid w:val="00F70CBD"/>
    <w:rsid w:val="00F70E52"/>
    <w:rsid w:val="00F7232E"/>
    <w:rsid w:val="00F728CA"/>
    <w:rsid w:val="00F7366C"/>
    <w:rsid w:val="00F73D8A"/>
    <w:rsid w:val="00F75297"/>
    <w:rsid w:val="00F75438"/>
    <w:rsid w:val="00F7599F"/>
    <w:rsid w:val="00F7731F"/>
    <w:rsid w:val="00F80057"/>
    <w:rsid w:val="00F80487"/>
    <w:rsid w:val="00F80B53"/>
    <w:rsid w:val="00F80E3B"/>
    <w:rsid w:val="00F8198C"/>
    <w:rsid w:val="00F81B19"/>
    <w:rsid w:val="00F82506"/>
    <w:rsid w:val="00F830A9"/>
    <w:rsid w:val="00F830C3"/>
    <w:rsid w:val="00F8362A"/>
    <w:rsid w:val="00F86675"/>
    <w:rsid w:val="00F86E58"/>
    <w:rsid w:val="00F87AA2"/>
    <w:rsid w:val="00F90082"/>
    <w:rsid w:val="00F90A20"/>
    <w:rsid w:val="00F90F5E"/>
    <w:rsid w:val="00F9125D"/>
    <w:rsid w:val="00F91FA3"/>
    <w:rsid w:val="00F92C86"/>
    <w:rsid w:val="00F93C7D"/>
    <w:rsid w:val="00F93C9D"/>
    <w:rsid w:val="00F94023"/>
    <w:rsid w:val="00F94FCA"/>
    <w:rsid w:val="00F96730"/>
    <w:rsid w:val="00F96E2C"/>
    <w:rsid w:val="00FA0A96"/>
    <w:rsid w:val="00FA1074"/>
    <w:rsid w:val="00FA1329"/>
    <w:rsid w:val="00FA1385"/>
    <w:rsid w:val="00FA1BBB"/>
    <w:rsid w:val="00FA2001"/>
    <w:rsid w:val="00FA2A91"/>
    <w:rsid w:val="00FA2D37"/>
    <w:rsid w:val="00FA2E14"/>
    <w:rsid w:val="00FA3364"/>
    <w:rsid w:val="00FA459B"/>
    <w:rsid w:val="00FA4B42"/>
    <w:rsid w:val="00FA4E1E"/>
    <w:rsid w:val="00FA5D47"/>
    <w:rsid w:val="00FA61B7"/>
    <w:rsid w:val="00FA6548"/>
    <w:rsid w:val="00FA6704"/>
    <w:rsid w:val="00FA7B3D"/>
    <w:rsid w:val="00FA7BBE"/>
    <w:rsid w:val="00FB0F3D"/>
    <w:rsid w:val="00FB1672"/>
    <w:rsid w:val="00FB19DF"/>
    <w:rsid w:val="00FB20FE"/>
    <w:rsid w:val="00FB3F0E"/>
    <w:rsid w:val="00FB4423"/>
    <w:rsid w:val="00FB4A12"/>
    <w:rsid w:val="00FB54CB"/>
    <w:rsid w:val="00FB6402"/>
    <w:rsid w:val="00FB66B4"/>
    <w:rsid w:val="00FB6AC2"/>
    <w:rsid w:val="00FB6D5A"/>
    <w:rsid w:val="00FB76F8"/>
    <w:rsid w:val="00FB7B40"/>
    <w:rsid w:val="00FB7FC8"/>
    <w:rsid w:val="00FC0F13"/>
    <w:rsid w:val="00FC28BC"/>
    <w:rsid w:val="00FC2E84"/>
    <w:rsid w:val="00FC3025"/>
    <w:rsid w:val="00FC3DDC"/>
    <w:rsid w:val="00FC55C4"/>
    <w:rsid w:val="00FD0268"/>
    <w:rsid w:val="00FD03B2"/>
    <w:rsid w:val="00FD13D1"/>
    <w:rsid w:val="00FD186B"/>
    <w:rsid w:val="00FD3329"/>
    <w:rsid w:val="00FD4A5B"/>
    <w:rsid w:val="00FD4C1A"/>
    <w:rsid w:val="00FD6E88"/>
    <w:rsid w:val="00FD73AD"/>
    <w:rsid w:val="00FE2072"/>
    <w:rsid w:val="00FE2F44"/>
    <w:rsid w:val="00FE36F7"/>
    <w:rsid w:val="00FE3D31"/>
    <w:rsid w:val="00FE447A"/>
    <w:rsid w:val="00FE46B1"/>
    <w:rsid w:val="00FE532F"/>
    <w:rsid w:val="00FE56EA"/>
    <w:rsid w:val="00FE5B1E"/>
    <w:rsid w:val="00FE6D9F"/>
    <w:rsid w:val="00FF1A12"/>
    <w:rsid w:val="00FF1B5D"/>
    <w:rsid w:val="00FF2A7E"/>
    <w:rsid w:val="00FF64EB"/>
    <w:rsid w:val="00FF6802"/>
    <w:rsid w:val="00FF6A00"/>
    <w:rsid w:val="00FF6AE8"/>
    <w:rsid w:val="00FF7B2A"/>
    <w:rsid w:val="01B845D0"/>
    <w:rsid w:val="01DA56C1"/>
    <w:rsid w:val="02250FF2"/>
    <w:rsid w:val="028E2176"/>
    <w:rsid w:val="02EF63EA"/>
    <w:rsid w:val="03861148"/>
    <w:rsid w:val="04B92A7E"/>
    <w:rsid w:val="04CA6043"/>
    <w:rsid w:val="05905058"/>
    <w:rsid w:val="079F2841"/>
    <w:rsid w:val="0830197E"/>
    <w:rsid w:val="09515076"/>
    <w:rsid w:val="0BB523AC"/>
    <w:rsid w:val="0BCD5E0B"/>
    <w:rsid w:val="0C2C545F"/>
    <w:rsid w:val="0C955312"/>
    <w:rsid w:val="0CEC6A0E"/>
    <w:rsid w:val="0DFD4597"/>
    <w:rsid w:val="0E0B3E6D"/>
    <w:rsid w:val="10222032"/>
    <w:rsid w:val="11911840"/>
    <w:rsid w:val="12724E82"/>
    <w:rsid w:val="128E75E9"/>
    <w:rsid w:val="12B761F1"/>
    <w:rsid w:val="1392741D"/>
    <w:rsid w:val="14C35571"/>
    <w:rsid w:val="15C57A00"/>
    <w:rsid w:val="161F7997"/>
    <w:rsid w:val="169D09A1"/>
    <w:rsid w:val="16D45001"/>
    <w:rsid w:val="16F013D9"/>
    <w:rsid w:val="17EC0E28"/>
    <w:rsid w:val="19F916E4"/>
    <w:rsid w:val="1AA6556E"/>
    <w:rsid w:val="1C1C474E"/>
    <w:rsid w:val="1C2102D7"/>
    <w:rsid w:val="1CC42C7D"/>
    <w:rsid w:val="1D422A70"/>
    <w:rsid w:val="1E6B633B"/>
    <w:rsid w:val="1EF376D1"/>
    <w:rsid w:val="1F1723AF"/>
    <w:rsid w:val="1FB4782B"/>
    <w:rsid w:val="217145FB"/>
    <w:rsid w:val="220F051C"/>
    <w:rsid w:val="23233E0A"/>
    <w:rsid w:val="23FA416C"/>
    <w:rsid w:val="240D2EA4"/>
    <w:rsid w:val="24174141"/>
    <w:rsid w:val="24355328"/>
    <w:rsid w:val="259438FB"/>
    <w:rsid w:val="26835766"/>
    <w:rsid w:val="27572814"/>
    <w:rsid w:val="27F45DE5"/>
    <w:rsid w:val="292925AB"/>
    <w:rsid w:val="2A06560C"/>
    <w:rsid w:val="2B105C75"/>
    <w:rsid w:val="2B5035FD"/>
    <w:rsid w:val="2BC04981"/>
    <w:rsid w:val="2D5D294A"/>
    <w:rsid w:val="304B6504"/>
    <w:rsid w:val="309C033E"/>
    <w:rsid w:val="30CE7B67"/>
    <w:rsid w:val="31491895"/>
    <w:rsid w:val="319F222F"/>
    <w:rsid w:val="32E91F6F"/>
    <w:rsid w:val="33D06A5F"/>
    <w:rsid w:val="36874C0F"/>
    <w:rsid w:val="36DB398F"/>
    <w:rsid w:val="37710F02"/>
    <w:rsid w:val="393762E3"/>
    <w:rsid w:val="3A895B91"/>
    <w:rsid w:val="3B497B8A"/>
    <w:rsid w:val="3BF86119"/>
    <w:rsid w:val="3E4E34C2"/>
    <w:rsid w:val="3FD01AF4"/>
    <w:rsid w:val="3FDB1C5D"/>
    <w:rsid w:val="41C3599E"/>
    <w:rsid w:val="42B519B1"/>
    <w:rsid w:val="434F28BD"/>
    <w:rsid w:val="44496583"/>
    <w:rsid w:val="475A40AF"/>
    <w:rsid w:val="480D51E8"/>
    <w:rsid w:val="48196A59"/>
    <w:rsid w:val="494D7A99"/>
    <w:rsid w:val="49C47D35"/>
    <w:rsid w:val="4B613B86"/>
    <w:rsid w:val="4D2C632D"/>
    <w:rsid w:val="4DA27578"/>
    <w:rsid w:val="4DBF6EAD"/>
    <w:rsid w:val="4E63505B"/>
    <w:rsid w:val="4F30686B"/>
    <w:rsid w:val="4FC257D3"/>
    <w:rsid w:val="506B3F02"/>
    <w:rsid w:val="52566CE2"/>
    <w:rsid w:val="5341578A"/>
    <w:rsid w:val="535E057C"/>
    <w:rsid w:val="53C97217"/>
    <w:rsid w:val="54CC4338"/>
    <w:rsid w:val="563B6191"/>
    <w:rsid w:val="56894B43"/>
    <w:rsid w:val="577E1B57"/>
    <w:rsid w:val="58A54C6D"/>
    <w:rsid w:val="59BC0511"/>
    <w:rsid w:val="5AA37D36"/>
    <w:rsid w:val="5BAA48BA"/>
    <w:rsid w:val="5DAB1A60"/>
    <w:rsid w:val="5F156B51"/>
    <w:rsid w:val="61372034"/>
    <w:rsid w:val="619E1236"/>
    <w:rsid w:val="62834006"/>
    <w:rsid w:val="652871E7"/>
    <w:rsid w:val="65712670"/>
    <w:rsid w:val="65D24284"/>
    <w:rsid w:val="668541A0"/>
    <w:rsid w:val="67425ED2"/>
    <w:rsid w:val="67E404FE"/>
    <w:rsid w:val="68FE73C1"/>
    <w:rsid w:val="68FF6A6B"/>
    <w:rsid w:val="69764458"/>
    <w:rsid w:val="6C006BAD"/>
    <w:rsid w:val="6E563005"/>
    <w:rsid w:val="6FF51DB1"/>
    <w:rsid w:val="6FF51FB6"/>
    <w:rsid w:val="70756C14"/>
    <w:rsid w:val="70785E35"/>
    <w:rsid w:val="70BF2E75"/>
    <w:rsid w:val="710D7D4A"/>
    <w:rsid w:val="71BE7964"/>
    <w:rsid w:val="72574469"/>
    <w:rsid w:val="72B60B69"/>
    <w:rsid w:val="72B729C4"/>
    <w:rsid w:val="75122D6A"/>
    <w:rsid w:val="77AF69A6"/>
    <w:rsid w:val="77CB4CDD"/>
    <w:rsid w:val="782D5516"/>
    <w:rsid w:val="78471508"/>
    <w:rsid w:val="78615D50"/>
    <w:rsid w:val="7A727E4A"/>
    <w:rsid w:val="7BEA4BF8"/>
    <w:rsid w:val="7D1B7525"/>
    <w:rsid w:val="7E1B0758"/>
    <w:rsid w:val="7E3C6C39"/>
    <w:rsid w:val="7E525550"/>
    <w:rsid w:val="7EA35400"/>
    <w:rsid w:val="7F404B17"/>
    <w:rsid w:val="7FC105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宋体" w:cs="Times New Roman"/>
      <w:sz w:val="22"/>
      <w:szCs w:val="22"/>
      <w:lang w:val="en-US" w:eastAsia="en-US" w:bidi="ar-SA"/>
    </w:rPr>
  </w:style>
  <w:style w:type="paragraph" w:styleId="4">
    <w:name w:val="heading 1"/>
    <w:basedOn w:val="1"/>
    <w:next w:val="1"/>
    <w:qFormat/>
    <w:uiPriority w:val="1"/>
    <w:pPr>
      <w:outlineLvl w:val="0"/>
    </w:pPr>
    <w:rPr>
      <w:rFonts w:ascii="黑体" w:hAnsi="黑体" w:eastAsia="黑体"/>
      <w:sz w:val="44"/>
      <w:szCs w:val="44"/>
    </w:rPr>
  </w:style>
  <w:style w:type="paragraph" w:styleId="5">
    <w:name w:val="heading 2"/>
    <w:basedOn w:val="1"/>
    <w:next w:val="1"/>
    <w:qFormat/>
    <w:uiPriority w:val="1"/>
    <w:pPr>
      <w:ind w:left="112"/>
      <w:outlineLvl w:val="1"/>
    </w:pPr>
    <w:rPr>
      <w:rFonts w:ascii="宋体" w:hAnsi="宋体"/>
      <w:sz w:val="32"/>
      <w:szCs w:val="32"/>
    </w:rPr>
  </w:style>
  <w:style w:type="paragraph" w:styleId="6">
    <w:name w:val="heading 3"/>
    <w:basedOn w:val="1"/>
    <w:next w:val="1"/>
    <w:qFormat/>
    <w:uiPriority w:val="1"/>
    <w:pPr>
      <w:spacing w:before="26"/>
      <w:ind w:left="20"/>
      <w:outlineLvl w:val="2"/>
    </w:pPr>
    <w:rPr>
      <w:rFonts w:ascii="黑体" w:hAnsi="黑体" w:eastAsia="黑体"/>
      <w:sz w:val="24"/>
      <w:szCs w:val="24"/>
    </w:rPr>
  </w:style>
  <w:style w:type="character" w:default="1" w:styleId="18">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76"/>
    <w:qFormat/>
    <w:uiPriority w:val="0"/>
    <w:pPr>
      <w:ind w:firstLine="420"/>
    </w:pPr>
  </w:style>
  <w:style w:type="paragraph" w:styleId="3">
    <w:name w:val="Body Text Indent"/>
    <w:basedOn w:val="1"/>
    <w:qFormat/>
    <w:uiPriority w:val="0"/>
    <w:pPr>
      <w:spacing w:after="120"/>
      <w:ind w:left="420" w:leftChars="200"/>
    </w:pPr>
  </w:style>
  <w:style w:type="paragraph" w:styleId="7">
    <w:name w:val="annotation subject"/>
    <w:basedOn w:val="8"/>
    <w:next w:val="8"/>
    <w:link w:val="42"/>
    <w:unhideWhenUsed/>
    <w:qFormat/>
    <w:uiPriority w:val="99"/>
    <w:rPr>
      <w:b/>
      <w:bCs/>
    </w:rPr>
  </w:style>
  <w:style w:type="paragraph" w:styleId="8">
    <w:name w:val="annotation text"/>
    <w:basedOn w:val="1"/>
    <w:link w:val="45"/>
    <w:unhideWhenUsed/>
    <w:qFormat/>
    <w:uiPriority w:val="99"/>
  </w:style>
  <w:style w:type="paragraph" w:styleId="9">
    <w:name w:val="Body Text"/>
    <w:basedOn w:val="1"/>
    <w:link w:val="36"/>
    <w:qFormat/>
    <w:uiPriority w:val="1"/>
    <w:pPr>
      <w:ind w:left="116"/>
    </w:pPr>
    <w:rPr>
      <w:rFonts w:ascii="宋体" w:hAnsi="宋体"/>
      <w:sz w:val="21"/>
      <w:szCs w:val="21"/>
    </w:rPr>
  </w:style>
  <w:style w:type="paragraph" w:styleId="10">
    <w:name w:val="toc 3"/>
    <w:basedOn w:val="1"/>
    <w:next w:val="1"/>
    <w:unhideWhenUsed/>
    <w:qFormat/>
    <w:uiPriority w:val="39"/>
    <w:pPr>
      <w:ind w:left="840" w:leftChars="400"/>
    </w:pPr>
  </w:style>
  <w:style w:type="paragraph" w:styleId="11">
    <w:name w:val="Date"/>
    <w:basedOn w:val="1"/>
    <w:next w:val="1"/>
    <w:link w:val="75"/>
    <w:unhideWhenUsed/>
    <w:qFormat/>
    <w:uiPriority w:val="99"/>
    <w:pPr>
      <w:ind w:left="100" w:leftChars="2500"/>
    </w:pPr>
  </w:style>
  <w:style w:type="paragraph" w:styleId="12">
    <w:name w:val="Balloon Text"/>
    <w:basedOn w:val="1"/>
    <w:link w:val="49"/>
    <w:unhideWhenUsed/>
    <w:qFormat/>
    <w:uiPriority w:val="99"/>
    <w:rPr>
      <w:sz w:val="18"/>
      <w:szCs w:val="18"/>
    </w:rPr>
  </w:style>
  <w:style w:type="paragraph" w:styleId="13">
    <w:name w:val="footer"/>
    <w:basedOn w:val="1"/>
    <w:link w:val="48"/>
    <w:unhideWhenUsed/>
    <w:qFormat/>
    <w:uiPriority w:val="99"/>
    <w:pPr>
      <w:tabs>
        <w:tab w:val="center" w:pos="4153"/>
        <w:tab w:val="right" w:pos="8306"/>
      </w:tabs>
      <w:snapToGrid w:val="0"/>
    </w:pPr>
    <w:rPr>
      <w:sz w:val="18"/>
      <w:szCs w:val="18"/>
    </w:rPr>
  </w:style>
  <w:style w:type="paragraph" w:styleId="1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2"/>
    <w:basedOn w:val="1"/>
    <w:next w:val="1"/>
    <w:unhideWhenUsed/>
    <w:qFormat/>
    <w:uiPriority w:val="39"/>
    <w:pPr>
      <w:ind w:left="420" w:leftChars="200"/>
    </w:pPr>
  </w:style>
  <w:style w:type="paragraph" w:styleId="17">
    <w:name w:val="Normal (Web)"/>
    <w:basedOn w:val="1"/>
    <w:unhideWhenUsed/>
    <w:qFormat/>
    <w:uiPriority w:val="99"/>
    <w:pPr>
      <w:widowControl/>
      <w:spacing w:before="100" w:beforeAutospacing="1" w:after="100" w:afterAutospacing="1"/>
    </w:pPr>
    <w:rPr>
      <w:rFonts w:ascii="宋体" w:hAnsi="宋体" w:cs="宋体"/>
      <w:sz w:val="24"/>
      <w:szCs w:val="24"/>
      <w:lang w:eastAsia="zh-CN"/>
    </w:rPr>
  </w:style>
  <w:style w:type="character" w:styleId="19">
    <w:name w:val="Strong"/>
    <w:basedOn w:val="18"/>
    <w:qFormat/>
    <w:uiPriority w:val="22"/>
    <w:rPr>
      <w:b/>
      <w:bCs/>
    </w:rPr>
  </w:style>
  <w:style w:type="character" w:styleId="20">
    <w:name w:val="FollowedHyperlink"/>
    <w:unhideWhenUsed/>
    <w:qFormat/>
    <w:uiPriority w:val="99"/>
    <w:rPr>
      <w:color w:val="800080"/>
      <w:u w:val="single"/>
    </w:rPr>
  </w:style>
  <w:style w:type="character" w:styleId="21">
    <w:name w:val="Emphasis"/>
    <w:qFormat/>
    <w:uiPriority w:val="20"/>
    <w:rPr>
      <w:i/>
      <w:iCs/>
    </w:rPr>
  </w:style>
  <w:style w:type="character" w:styleId="22">
    <w:name w:val="Hyperlink"/>
    <w:unhideWhenUsed/>
    <w:qFormat/>
    <w:uiPriority w:val="99"/>
    <w:rPr>
      <w:color w:val="0000FF"/>
      <w:u w:val="single"/>
    </w:rPr>
  </w:style>
  <w:style w:type="character" w:styleId="23">
    <w:name w:val="annotation reference"/>
    <w:unhideWhenUsed/>
    <w:qFormat/>
    <w:uiPriority w:val="99"/>
    <w:rPr>
      <w:sz w:val="21"/>
      <w:szCs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1.1 Char"/>
    <w:link w:val="27"/>
    <w:qFormat/>
    <w:uiPriority w:val="1"/>
    <w:rPr>
      <w:rFonts w:ascii="黑体" w:eastAsia="黑体"/>
      <w:sz w:val="21"/>
      <w:szCs w:val="21"/>
    </w:rPr>
  </w:style>
  <w:style w:type="paragraph" w:customStyle="1" w:styleId="27">
    <w:name w:val="1.1"/>
    <w:basedOn w:val="28"/>
    <w:link w:val="26"/>
    <w:qFormat/>
    <w:uiPriority w:val="1"/>
    <w:pPr>
      <w:numPr>
        <w:ilvl w:val="1"/>
        <w:numId w:val="1"/>
      </w:numPr>
      <w:spacing w:before="120" w:after="120"/>
    </w:pPr>
  </w:style>
  <w:style w:type="paragraph" w:customStyle="1" w:styleId="28">
    <w:name w:val="一级条标题"/>
    <w:next w:val="29"/>
    <w:link w:val="30"/>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29">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一级条标题 Char"/>
    <w:link w:val="28"/>
    <w:qFormat/>
    <w:uiPriority w:val="0"/>
    <w:rPr>
      <w:rFonts w:ascii="黑体" w:hAnsi="Times New Roman" w:eastAsia="黑体" w:cs="Times New Roman"/>
      <w:sz w:val="21"/>
      <w:szCs w:val="21"/>
      <w:lang w:eastAsia="zh-CN"/>
    </w:rPr>
  </w:style>
  <w:style w:type="character" w:customStyle="1" w:styleId="31">
    <w:name w:val="章标题 Char"/>
    <w:link w:val="32"/>
    <w:qFormat/>
    <w:uiPriority w:val="0"/>
    <w:rPr>
      <w:rFonts w:ascii="黑体" w:hAnsi="Times New Roman" w:eastAsia="黑体" w:cs="Times New Roman"/>
      <w:sz w:val="21"/>
      <w:szCs w:val="20"/>
      <w:lang w:eastAsia="zh-CN"/>
    </w:rPr>
  </w:style>
  <w:style w:type="paragraph" w:customStyle="1" w:styleId="32">
    <w:name w:val="章标题"/>
    <w:next w:val="29"/>
    <w:link w:val="31"/>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33">
    <w:name w:val="1 Char"/>
    <w:link w:val="34"/>
    <w:qFormat/>
    <w:uiPriority w:val="1"/>
    <w:rPr>
      <w:rFonts w:ascii="黑体" w:eastAsia="黑体"/>
      <w:sz w:val="21"/>
    </w:rPr>
  </w:style>
  <w:style w:type="paragraph" w:customStyle="1" w:styleId="34">
    <w:name w:val="1"/>
    <w:basedOn w:val="32"/>
    <w:link w:val="33"/>
    <w:qFormat/>
    <w:uiPriority w:val="1"/>
    <w:pPr>
      <w:numPr>
        <w:ilvl w:val="0"/>
        <w:numId w:val="1"/>
      </w:numPr>
      <w:spacing w:before="240" w:after="240"/>
    </w:pPr>
  </w:style>
  <w:style w:type="character" w:customStyle="1" w:styleId="35">
    <w:name w:val="页眉 字符"/>
    <w:link w:val="14"/>
    <w:qFormat/>
    <w:uiPriority w:val="99"/>
    <w:rPr>
      <w:sz w:val="18"/>
      <w:szCs w:val="18"/>
    </w:rPr>
  </w:style>
  <w:style w:type="character" w:customStyle="1" w:styleId="36">
    <w:name w:val="正文文本 字符"/>
    <w:link w:val="9"/>
    <w:qFormat/>
    <w:uiPriority w:val="1"/>
    <w:rPr>
      <w:rFonts w:ascii="宋体" w:hAnsi="宋体" w:eastAsia="宋体"/>
      <w:sz w:val="21"/>
      <w:szCs w:val="21"/>
    </w:rPr>
  </w:style>
  <w:style w:type="character" w:customStyle="1" w:styleId="37">
    <w:name w:val="zhang Char"/>
    <w:link w:val="38"/>
    <w:qFormat/>
    <w:uiPriority w:val="1"/>
    <w:rPr>
      <w:rFonts w:ascii="黑体" w:hAnsi="黑体" w:eastAsia="黑体" w:cs="黑体"/>
      <w:sz w:val="21"/>
      <w:szCs w:val="21"/>
    </w:rPr>
  </w:style>
  <w:style w:type="paragraph" w:customStyle="1" w:styleId="38">
    <w:name w:val="zhang"/>
    <w:basedOn w:val="9"/>
    <w:link w:val="37"/>
    <w:qFormat/>
    <w:uiPriority w:val="1"/>
    <w:pPr>
      <w:numPr>
        <w:ilvl w:val="0"/>
        <w:numId w:val="2"/>
      </w:numPr>
      <w:tabs>
        <w:tab w:val="left" w:pos="430"/>
      </w:tabs>
      <w:spacing w:beforeLines="100" w:afterLines="100"/>
      <w:ind w:left="0" w:firstLine="0"/>
      <w:outlineLvl w:val="0"/>
    </w:pPr>
    <w:rPr>
      <w:rFonts w:ascii="黑体" w:hAnsi="黑体" w:eastAsia="黑体" w:cs="黑体"/>
      <w:lang w:eastAsia="zh-CN"/>
    </w:rPr>
  </w:style>
  <w:style w:type="character" w:customStyle="1" w:styleId="39">
    <w:name w:val="1.1.1 Char"/>
    <w:link w:val="40"/>
    <w:qFormat/>
    <w:uiPriority w:val="1"/>
    <w:rPr>
      <w:rFonts w:ascii="黑体" w:eastAsia="黑体"/>
      <w:sz w:val="21"/>
      <w:szCs w:val="21"/>
    </w:rPr>
  </w:style>
  <w:style w:type="paragraph" w:customStyle="1" w:styleId="40">
    <w:name w:val="1.1.1"/>
    <w:basedOn w:val="41"/>
    <w:link w:val="39"/>
    <w:qFormat/>
    <w:uiPriority w:val="1"/>
    <w:pPr>
      <w:numPr>
        <w:ilvl w:val="2"/>
        <w:numId w:val="1"/>
      </w:numPr>
      <w:spacing w:before="120" w:after="120"/>
    </w:pPr>
  </w:style>
  <w:style w:type="paragraph" w:customStyle="1" w:styleId="41">
    <w:name w:val="二级条标题"/>
    <w:basedOn w:val="28"/>
    <w:next w:val="29"/>
    <w:link w:val="43"/>
    <w:qFormat/>
    <w:uiPriority w:val="0"/>
    <w:pPr>
      <w:spacing w:before="50" w:after="50"/>
      <w:outlineLvl w:val="3"/>
    </w:pPr>
  </w:style>
  <w:style w:type="character" w:customStyle="1" w:styleId="42">
    <w:name w:val="批注主题 字符"/>
    <w:link w:val="7"/>
    <w:semiHidden/>
    <w:qFormat/>
    <w:uiPriority w:val="99"/>
    <w:rPr>
      <w:b/>
      <w:bCs/>
    </w:rPr>
  </w:style>
  <w:style w:type="character" w:customStyle="1" w:styleId="43">
    <w:name w:val="二级条标题 Char"/>
    <w:link w:val="41"/>
    <w:qFormat/>
    <w:uiPriority w:val="0"/>
    <w:rPr>
      <w:rFonts w:ascii="黑体" w:hAnsi="Times New Roman" w:eastAsia="黑体" w:cs="Times New Roman"/>
      <w:sz w:val="21"/>
      <w:szCs w:val="21"/>
      <w:lang w:eastAsia="zh-CN"/>
    </w:rPr>
  </w:style>
  <w:style w:type="character" w:customStyle="1" w:styleId="44">
    <w:name w:val="段 Char"/>
    <w:link w:val="29"/>
    <w:qFormat/>
    <w:uiPriority w:val="0"/>
    <w:rPr>
      <w:rFonts w:ascii="宋体" w:hAnsi="Times New Roman" w:eastAsia="宋体" w:cs="Times New Roman"/>
      <w:sz w:val="21"/>
      <w:szCs w:val="20"/>
      <w:lang w:eastAsia="zh-CN"/>
    </w:rPr>
  </w:style>
  <w:style w:type="character" w:customStyle="1" w:styleId="45">
    <w:name w:val="批注文字 字符"/>
    <w:basedOn w:val="18"/>
    <w:link w:val="8"/>
    <w:semiHidden/>
    <w:qFormat/>
    <w:uiPriority w:val="99"/>
  </w:style>
  <w:style w:type="character" w:customStyle="1" w:styleId="46">
    <w:name w:val="jie Char"/>
    <w:link w:val="47"/>
    <w:qFormat/>
    <w:uiPriority w:val="1"/>
    <w:rPr>
      <w:rFonts w:ascii="黑体" w:hAnsi="黑体" w:eastAsia="黑体" w:cs="黑体"/>
      <w:sz w:val="21"/>
      <w:szCs w:val="21"/>
    </w:rPr>
  </w:style>
  <w:style w:type="paragraph" w:customStyle="1" w:styleId="47">
    <w:name w:val="jie"/>
    <w:basedOn w:val="38"/>
    <w:link w:val="46"/>
    <w:qFormat/>
    <w:uiPriority w:val="1"/>
    <w:pPr>
      <w:numPr>
        <w:ilvl w:val="1"/>
      </w:numPr>
      <w:spacing w:beforeLines="50" w:afterLines="50"/>
      <w:ind w:left="0" w:firstLine="0"/>
      <w:outlineLvl w:val="1"/>
    </w:pPr>
  </w:style>
  <w:style w:type="character" w:customStyle="1" w:styleId="48">
    <w:name w:val="页脚 字符"/>
    <w:link w:val="13"/>
    <w:qFormat/>
    <w:uiPriority w:val="99"/>
    <w:rPr>
      <w:sz w:val="18"/>
      <w:szCs w:val="18"/>
    </w:rPr>
  </w:style>
  <w:style w:type="character" w:customStyle="1" w:styleId="49">
    <w:name w:val="批注框文本 字符"/>
    <w:link w:val="12"/>
    <w:semiHidden/>
    <w:qFormat/>
    <w:uiPriority w:val="99"/>
    <w:rPr>
      <w:sz w:val="18"/>
      <w:szCs w:val="18"/>
    </w:rPr>
  </w:style>
  <w:style w:type="paragraph" w:customStyle="1" w:styleId="50">
    <w:name w:val="List Paragraph"/>
    <w:basedOn w:val="1"/>
    <w:qFormat/>
    <w:uiPriority w:val="34"/>
  </w:style>
  <w:style w:type="paragraph" w:customStyle="1" w:styleId="51">
    <w:name w:val="Table Paragraph"/>
    <w:basedOn w:val="1"/>
    <w:qFormat/>
    <w:uiPriority w:val="1"/>
  </w:style>
  <w:style w:type="paragraph" w:customStyle="1" w:styleId="52">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sz w:val="32"/>
      <w:szCs w:val="20"/>
      <w:lang w:eastAsia="zh-CN"/>
    </w:rPr>
  </w:style>
  <w:style w:type="paragraph" w:customStyle="1" w:styleId="53">
    <w:name w:val="附录五级条标题"/>
    <w:basedOn w:val="54"/>
    <w:next w:val="29"/>
    <w:qFormat/>
    <w:uiPriority w:val="0"/>
    <w:pPr>
      <w:numPr>
        <w:ilvl w:val="6"/>
      </w:numPr>
      <w:tabs>
        <w:tab w:val="left" w:pos="360"/>
      </w:tabs>
      <w:outlineLvl w:val="6"/>
    </w:pPr>
  </w:style>
  <w:style w:type="paragraph" w:customStyle="1" w:styleId="54">
    <w:name w:val="附录四级条标题"/>
    <w:basedOn w:val="55"/>
    <w:next w:val="29"/>
    <w:qFormat/>
    <w:uiPriority w:val="0"/>
    <w:pPr>
      <w:numPr>
        <w:ilvl w:val="5"/>
      </w:numPr>
      <w:tabs>
        <w:tab w:val="left" w:pos="360"/>
      </w:tabs>
      <w:outlineLvl w:val="5"/>
    </w:pPr>
  </w:style>
  <w:style w:type="paragraph" w:customStyle="1" w:styleId="55">
    <w:name w:val="附录三级条标题"/>
    <w:basedOn w:val="56"/>
    <w:next w:val="29"/>
    <w:qFormat/>
    <w:uiPriority w:val="0"/>
    <w:pPr>
      <w:numPr>
        <w:ilvl w:val="4"/>
      </w:numPr>
      <w:tabs>
        <w:tab w:val="left" w:pos="360"/>
      </w:tabs>
      <w:outlineLvl w:val="4"/>
    </w:pPr>
  </w:style>
  <w:style w:type="paragraph" w:customStyle="1" w:styleId="56">
    <w:name w:val="附录二级条标题"/>
    <w:basedOn w:val="1"/>
    <w:next w:val="29"/>
    <w:qFormat/>
    <w:uiPriority w:val="0"/>
    <w:pPr>
      <w:widowControl/>
      <w:numPr>
        <w:ilvl w:val="3"/>
        <w:numId w:val="3"/>
      </w:numPr>
      <w:tabs>
        <w:tab w:val="left" w:pos="360"/>
      </w:tabs>
      <w:wordWrap w:val="0"/>
      <w:overflowPunct w:val="0"/>
      <w:autoSpaceDE w:val="0"/>
      <w:autoSpaceDN w:val="0"/>
      <w:spacing w:beforeLines="50" w:afterLines="50"/>
      <w:jc w:val="both"/>
      <w:textAlignment w:val="baseline"/>
      <w:outlineLvl w:val="3"/>
    </w:pPr>
    <w:rPr>
      <w:rFonts w:ascii="黑体" w:eastAsia="黑体"/>
      <w:kern w:val="21"/>
      <w:sz w:val="21"/>
      <w:szCs w:val="20"/>
      <w:lang w:eastAsia="zh-CN"/>
    </w:rPr>
  </w:style>
  <w:style w:type="paragraph" w:customStyle="1" w:styleId="57">
    <w:name w:val="三级条标题"/>
    <w:basedOn w:val="41"/>
    <w:next w:val="29"/>
    <w:qFormat/>
    <w:uiPriority w:val="0"/>
    <w:pPr>
      <w:outlineLvl w:val="4"/>
    </w:pPr>
  </w:style>
  <w:style w:type="paragraph" w:customStyle="1" w:styleId="58">
    <w:name w:val="四级条标题"/>
    <w:basedOn w:val="57"/>
    <w:next w:val="29"/>
    <w:qFormat/>
    <w:uiPriority w:val="0"/>
    <w:pPr>
      <w:outlineLvl w:val="5"/>
    </w:pPr>
  </w:style>
  <w:style w:type="paragraph" w:customStyle="1" w:styleId="59">
    <w:name w:val="终结线"/>
    <w:basedOn w:val="1"/>
    <w:qFormat/>
    <w:uiPriority w:val="0"/>
    <w:pPr>
      <w:framePr w:hSpace="181" w:vSpace="181" w:wrap="around" w:vAnchor="text" w:hAnchor="margin" w:xAlign="center" w:y="285"/>
      <w:jc w:val="both"/>
    </w:pPr>
    <w:rPr>
      <w:kern w:val="2"/>
      <w:sz w:val="21"/>
      <w:szCs w:val="24"/>
      <w:lang w:eastAsia="zh-CN"/>
    </w:rPr>
  </w:style>
  <w:style w:type="paragraph" w:customStyle="1" w:styleId="60">
    <w:name w:val="参考文献"/>
    <w:basedOn w:val="1"/>
    <w:next w:val="29"/>
    <w:qFormat/>
    <w:uiPriority w:val="0"/>
    <w:pPr>
      <w:keepNext/>
      <w:pageBreakBefore/>
      <w:widowControl/>
      <w:shd w:val="clear" w:color="FFFFFF" w:fill="FFFFFF"/>
      <w:spacing w:before="640" w:after="200"/>
      <w:jc w:val="center"/>
      <w:outlineLvl w:val="0"/>
    </w:pPr>
    <w:rPr>
      <w:rFonts w:ascii="黑体" w:eastAsia="黑体"/>
      <w:sz w:val="21"/>
      <w:szCs w:val="20"/>
      <w:lang w:eastAsia="zh-CN"/>
    </w:rPr>
  </w:style>
  <w:style w:type="paragraph" w:customStyle="1" w:styleId="61">
    <w:name w:val="附录一级条标题"/>
    <w:basedOn w:val="62"/>
    <w:next w:val="29"/>
    <w:qFormat/>
    <w:uiPriority w:val="0"/>
    <w:pPr>
      <w:numPr>
        <w:ilvl w:val="2"/>
      </w:numPr>
      <w:tabs>
        <w:tab w:val="left" w:pos="360"/>
      </w:tabs>
      <w:autoSpaceDN w:val="0"/>
      <w:spacing w:beforeLines="50" w:afterLines="50"/>
      <w:outlineLvl w:val="2"/>
    </w:pPr>
  </w:style>
  <w:style w:type="paragraph" w:customStyle="1" w:styleId="62">
    <w:name w:val="附录章标题"/>
    <w:next w:val="29"/>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3">
    <w:name w:val="五级条标题"/>
    <w:basedOn w:val="58"/>
    <w:next w:val="29"/>
    <w:qFormat/>
    <w:uiPriority w:val="0"/>
    <w:pPr>
      <w:outlineLvl w:val="6"/>
    </w:pPr>
  </w:style>
  <w:style w:type="paragraph" w:customStyle="1" w:styleId="64">
    <w:name w:val="其他标准标志"/>
    <w:basedOn w:val="1"/>
    <w:qFormat/>
    <w:uiPriority w:val="0"/>
    <w:pPr>
      <w:framePr w:w="6101" w:h="1389" w:hRule="exact" w:hSpace="181" w:vSpace="181" w:wrap="around" w:vAnchor="page" w:hAnchor="page" w:x="4673" w:y="942" w:anchorLock="1"/>
      <w:widowControl/>
      <w:shd w:val="solid" w:color="FFFFFF" w:fill="FFFFFF"/>
      <w:spacing w:line="240" w:lineRule="atLeast"/>
      <w:jc w:val="right"/>
    </w:pPr>
    <w:rPr>
      <w:b/>
      <w:w w:val="130"/>
      <w:sz w:val="96"/>
      <w:szCs w:val="96"/>
    </w:rPr>
  </w:style>
  <w:style w:type="paragraph" w:customStyle="1" w:styleId="65">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66">
    <w:name w:val="修订1"/>
    <w:semiHidden/>
    <w:qFormat/>
    <w:uiPriority w:val="99"/>
    <w:rPr>
      <w:rFonts w:ascii="Times New Roman" w:hAnsi="Times New Roman" w:eastAsia="宋体" w:cs="Times New Roman"/>
      <w:sz w:val="22"/>
      <w:szCs w:val="22"/>
      <w:lang w:val="en-US" w:eastAsia="en-US" w:bidi="ar-SA"/>
    </w:rPr>
  </w:style>
  <w:style w:type="paragraph" w:customStyle="1" w:styleId="67">
    <w:name w:val="附录标识"/>
    <w:basedOn w:val="1"/>
    <w:next w:val="29"/>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sz w:val="21"/>
      <w:szCs w:val="20"/>
      <w:lang w:eastAsia="zh-CN"/>
    </w:rPr>
  </w:style>
  <w:style w:type="paragraph" w:customStyle="1" w:styleId="68">
    <w:name w:val="TOC 标题1"/>
    <w:basedOn w:val="4"/>
    <w:next w:val="1"/>
    <w:unhideWhenUsed/>
    <w:qFormat/>
    <w:uiPriority w:val="39"/>
    <w:pPr>
      <w:keepNext/>
      <w:keepLines/>
      <w:widowControl/>
      <w:spacing w:before="240" w:line="259" w:lineRule="auto"/>
      <w:outlineLvl w:val="9"/>
    </w:pPr>
    <w:rPr>
      <w:rFonts w:ascii="Cambria" w:hAnsi="Cambria" w:eastAsia="宋体"/>
      <w:color w:val="366091"/>
      <w:sz w:val="32"/>
      <w:szCs w:val="32"/>
      <w:lang w:eastAsia="zh-CN"/>
    </w:r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71">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table" w:customStyle="1" w:styleId="72">
    <w:name w:val="Table Normal"/>
    <w:unhideWhenUsed/>
    <w:qFormat/>
    <w:uiPriority w:val="2"/>
    <w:tblPr>
      <w:tblLayout w:type="fixed"/>
      <w:tblCellMar>
        <w:top w:w="0" w:type="dxa"/>
        <w:left w:w="0" w:type="dxa"/>
        <w:bottom w:w="0" w:type="dxa"/>
        <w:right w:w="0" w:type="dxa"/>
      </w:tblCellMar>
    </w:tblPr>
  </w:style>
  <w:style w:type="table" w:customStyle="1" w:styleId="73">
    <w:name w:val="Table Normal1"/>
    <w:unhideWhenUsed/>
    <w:qFormat/>
    <w:uiPriority w:val="2"/>
    <w:tblPr>
      <w:tblLayout w:type="fixed"/>
      <w:tblCellMar>
        <w:top w:w="0" w:type="dxa"/>
        <w:left w:w="0" w:type="dxa"/>
        <w:bottom w:w="0" w:type="dxa"/>
        <w:right w:w="0" w:type="dxa"/>
      </w:tblCellMar>
    </w:tblPr>
  </w:style>
  <w:style w:type="paragraph" w:customStyle="1" w:styleId="74">
    <w:name w:val="TOC Heading1"/>
    <w:basedOn w:val="4"/>
    <w:next w:val="1"/>
    <w:unhideWhenUsed/>
    <w:qFormat/>
    <w:uiPriority w:val="39"/>
    <w:pPr>
      <w:keepNext/>
      <w:keepLines/>
      <w:widowControl/>
      <w:spacing w:before="480" w:line="276" w:lineRule="auto"/>
      <w:outlineLvl w:val="9"/>
    </w:pPr>
    <w:rPr>
      <w:rFonts w:ascii="Cambria" w:hAnsi="Cambria" w:eastAsia="宋体"/>
      <w:b/>
      <w:bCs/>
      <w:color w:val="365F91"/>
      <w:sz w:val="28"/>
      <w:szCs w:val="28"/>
      <w:lang w:eastAsia="zh-CN"/>
    </w:rPr>
  </w:style>
  <w:style w:type="character" w:customStyle="1" w:styleId="75">
    <w:name w:val="日期 字符"/>
    <w:basedOn w:val="18"/>
    <w:link w:val="11"/>
    <w:semiHidden/>
    <w:qFormat/>
    <w:uiPriority w:val="99"/>
    <w:rPr>
      <w:sz w:val="22"/>
      <w:szCs w:val="22"/>
      <w:lang w:eastAsia="en-US"/>
    </w:rPr>
  </w:style>
  <w:style w:type="character" w:customStyle="1" w:styleId="76">
    <w:name w:val="正文文本首行缩进 2 字符"/>
    <w:basedOn w:val="18"/>
    <w:link w:val="2"/>
    <w:qFormat/>
    <w:uiPriority w:val="99"/>
    <w:rPr>
      <w:rFonts w:ascii="Times New Roman" w:hAnsi="Times New Roman"/>
      <w:sz w:val="22"/>
      <w:szCs w:val="22"/>
      <w:lang w:eastAsia="en-US"/>
    </w:rPr>
  </w:style>
  <w:style w:type="character" w:customStyle="1" w:styleId="77">
    <w:name w:val="bjh-p"/>
    <w:basedOn w:val="18"/>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49A21B-7EB8-434E-B104-9FF0B1FE1E8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2048</Words>
  <Characters>11674</Characters>
  <Lines>97</Lines>
  <Paragraphs>27</Paragraphs>
  <TotalTime>26</TotalTime>
  <ScaleCrop>false</ScaleCrop>
  <LinksUpToDate>false</LinksUpToDate>
  <CharactersWithSpaces>13695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2021-10-19T06:35:00Z</dcterms:created>
  <dc:creator>lenovo</dc:creator>
  <cp:lastModifiedBy>黎美娴</cp:lastModifiedBy>
  <cp:lastPrinted>2021-06-21T06:56:00Z</cp:lastPrinted>
  <dcterms:modified xsi:type="dcterms:W3CDTF">2021-11-11T03:29:36Z</dcterms:modified>
  <dc:title>IICS XXXXXX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2018-04-07T16:00:00Z</vt:filetime>
  </property>
  <property fmtid="{D5CDD505-2E9C-101B-9397-08002B2CF9AE}" pid="3" name="LastSaved">
    <vt:filetime>2019-01-20T16:00:00Z</vt:filetime>
  </property>
  <property fmtid="{D5CDD505-2E9C-101B-9397-08002B2CF9AE}" pid="4" name="KSOProductBuildVer">
    <vt:lpwstr>2052-10.8.0.6423</vt:lpwstr>
  </property>
  <property fmtid="{D5CDD505-2E9C-101B-9397-08002B2CF9AE}" pid="5" name="ICV">
    <vt:lpwstr>16BAA231A8894CA8A706D8731347E4D8</vt:lpwstr>
  </property>
</Properties>
</file>