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1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全省性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社会组织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抽查审计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名单</w:t>
      </w:r>
    </w:p>
    <w:bookmarkEnd w:id="1"/>
    <w:p>
      <w:pPr>
        <w:pStyle w:val="7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tbl>
      <w:tblPr>
        <w:tblStyle w:val="11"/>
        <w:tblW w:w="8225" w:type="dxa"/>
        <w:jc w:val="center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6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tblHeader/>
          <w:jc w:val="center"/>
        </w:trPr>
        <w:tc>
          <w:tcPr>
            <w:tcW w:w="12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-2355" w:rightChars="-736" w:firstLine="2240" w:firstLineChars="7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广东省工艺美术协会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广东省美容美发化妆品行业协会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广东省电线电缆行业协会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广东省通信行业协会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commentRangeStart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广东省道路运输协会</w:t>
            </w:r>
            <w:commentRangeEnd w:id="0"/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广东省印刷复制业协会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广东省浙江温岭商会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8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广东省连锁经营协会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9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commentRangeStart w:id="1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广东省电子商务协会</w:t>
            </w:r>
            <w:commentRangeEnd w:id="1"/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10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广东省鳗鱼业协会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11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广东省餐饮服务行业协会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12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广东省洁净技术行业协会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13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广东省水产流通与加工协会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14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广东省水泥行业协会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15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广东省室内环境卫生行业协会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16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广东省建筑材料行业协会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17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commentRangeStart w:id="2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广东省演出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业协会</w:t>
            </w:r>
            <w:commentRangeEnd w:id="2"/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18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广东省电力行业协会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commentRangeStart w:id="3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广东省水利水电行业协会</w:t>
            </w:r>
            <w:commentRangeEnd w:id="3"/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广东省城市公共交通协会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广东省预拌混凝土行业协会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广东省汽车保修设备商会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广东省打假协会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广东省地产商会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广东省湖南张家界商会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广东省河南商会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广东省湖南永州商会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commentRangeStart w:id="4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广东省陕西商会</w:t>
            </w:r>
            <w:commentRangeEnd w:id="4"/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</w:rPr>
              <w:commentReference w:id="4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广东省云浮商会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广东省重庆商会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广东省湖南凤凰商会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广东省福建永安商会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广东省四川乐至商会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广东省河南沈丘商会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广东省湖南零陵商会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广东省湖北仙桃商会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广东省福建邵武商会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广东省湖南君山商会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广东省广宁商会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广东省四川蓬安商会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广东省电气商会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广东省揭阳商会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广东省矿业协会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广东省重庆大足商会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广东省温泉行业协会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广东省江西抚州商会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广东省四川西充商会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广东省四川隆昌商会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广东省文化用品行业协会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广东省哈尔滨商会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广东省科学技术实验室联合会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bidi="ar"/>
              </w:rPr>
              <w:t>广东楹联学会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广东巴蜀文化促进会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广东省公益事业促进会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广东省体育舞蹈艺术交流协会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广东省生物信息学会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广东吉他研究会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广东省细胞生物学学会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广东省城镇化法治研究会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广东省声乐艺术研究会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广东省针灸学会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广东省基本建设优化研究会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广东省药理学会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广东省绿色供应链协会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广东省互联网协会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广东省海南联谊会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广东省注册税务师协会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广东外商投资企业协会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广东省气象学会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广东省医学会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广东录音师协会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广东省司法鉴定协会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auto"/>
              </w:rPr>
              <w:t>广东省监狱会计学会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广东省通用航空协会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广东省邮政企业管理协会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广东省纺织工程学会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广东中华诗词学会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广东省文艺评论家协会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广东省遥感与地理信息系统学会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广东省民营经济国际合作商会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广东省计算机用户协会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广东省应急协会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广东会展组展企业协会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广东省传统文化促进会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广东省妈祖文化交流协会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广东省文物艺术研究会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广东省广场舞协会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广东省民族管弦乐学会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广东省建设工程质量安全检测和鉴定协会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广东省节能协会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广东省循环经济和资源综合利用协会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广东省医用耗材管理学会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广东省创业投资协会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广东省商业联合会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广东省曾子文化研究会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广东省安全生产协会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广东经济投资促进会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广东省职业培训和技工教育协会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广东省产业园区协会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广东省教师继续教育学会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广东省健康管理学会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广东省临床医学学会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广东省基层医药学会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广东省暖通空调协会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广东省消防协会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广东省临床试验协会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广东省胸部疾病学会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广东省药师协会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广东省食品安全学会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广东省艺术品收藏协会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广东省九龙树国学研究院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广东岭南潮剧院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广东中科军民融合产业研究院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广东家教通家长服务中心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广东省岭南民间工艺研究院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广东省泛美泓涵医学美容研究院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广东蓝天教育发展研究院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广东时代教育研究院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广东本草医药研究所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广东省华南机电设计研究院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广东南岸至尚美术馆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广东省射频识别公共技术支持中心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广东省南方信息技术研究院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广东启天信息工程研究院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广东华昊农业技术开发研究院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广东省数字广东研究院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广东省二沙乒乓球俱乐部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广东省昊拓消防职业培训学校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129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广东省母婴职业培训学校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广东省国粹戏剧普及教育研究院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广东亚羽交响乐团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广东制造创新中心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133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广东城印城市更新研究院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广东和谐继承服务中心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广东省玖玖文化艺术交流中心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广东信诺国际投资促进中心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广东颐养抗衰老研究院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广东省战略知识产权研究院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广东省全民大健康发展研究院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广东华斓汽车材料研究院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6980" w:type="dxa"/>
            <w:vAlign w:val="center"/>
          </w:tcPr>
          <w:p>
            <w:pPr>
              <w:widowControl w:val="0"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广东省关山月艺术基金会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广东省众爱慈善基金会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广东省龙光慈善基金会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广东省利海绿色基金会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广东省希贤教育益基金会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146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广东省荔园地产公益基金会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147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广东省振兴科技基金会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广东省静笃慈善基金会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149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广东省残培教育发展基金会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广东省惠民慈善基金会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151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广东省天柱慈善基金会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152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惠州市协和医疗救助基金会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153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广东省点亮公益基金会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154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广东省同芙慈善基金会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155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广东省滴水恩公益促进会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156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广东省鸿光心脏医疗救助基金会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157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广东省文物保护基金会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158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广东省记福慈善基金会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159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广东省岭南文化艺术促进基金会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160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广东省德云文化慈善基金会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161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广东省南方经济研究基金会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162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广东省德良慈善基金会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163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广东省银瑞慈善基金会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164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广东省弘扬法治公益基金会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165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广东省幸福老龄事业发展基金会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166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广东省思兰慈善基金会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167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广东省环球公益基金会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168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广东省见真慈善基金会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169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Lines="0" w:afterLines="0"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广东省北京理工大学珠海学院教育发展基金会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170</w:t>
            </w:r>
          </w:p>
        </w:tc>
        <w:tc>
          <w:tcPr>
            <w:tcW w:w="69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576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广东省大印慈善基金会</w:t>
            </w:r>
          </w:p>
        </w:tc>
      </w:tr>
    </w:tbl>
    <w:p>
      <w:pPr>
        <w:spacing w:line="576" w:lineRule="exac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576" w:lineRule="exact"/>
        <w:rPr>
          <w:rFonts w:hint="eastAsia" w:ascii="仿宋_GB2312" w:hAnsi="宋体" w:eastAsia="仿宋_GB2312"/>
          <w:szCs w:val="32"/>
          <w:lang w:eastAsia="zh-CN"/>
        </w:rPr>
      </w:pPr>
    </w:p>
    <w:p>
      <w:pPr>
        <w:spacing w:line="576" w:lineRule="exact"/>
        <w:rPr>
          <w:rFonts w:ascii="Times New Roman" w:hAnsi="Times New Roman"/>
          <w:szCs w:val="32"/>
        </w:rPr>
      </w:pPr>
    </w:p>
    <w:p>
      <w:pPr>
        <w:spacing w:line="576" w:lineRule="exact"/>
        <w:rPr>
          <w:rFonts w:hint="eastAsia" w:ascii="Times New Roman" w:hAnsi="Times New Roman"/>
          <w:szCs w:val="32"/>
        </w:rPr>
      </w:pPr>
    </w:p>
    <w:p>
      <w:pPr>
        <w:spacing w:line="576" w:lineRule="exact"/>
        <w:rPr>
          <w:rFonts w:hint="eastAsia" w:ascii="Times New Roman" w:hAnsi="Times New Roman"/>
          <w:szCs w:val="32"/>
        </w:rPr>
      </w:pPr>
    </w:p>
    <w:p>
      <w:pPr>
        <w:spacing w:line="576" w:lineRule="exact"/>
        <w:rPr>
          <w:rFonts w:hint="eastAsia" w:ascii="Times New Roman" w:hAnsi="Times New Roman"/>
          <w:szCs w:val="32"/>
        </w:rPr>
      </w:pPr>
    </w:p>
    <w:p>
      <w:pPr>
        <w:spacing w:line="576" w:lineRule="exact"/>
        <w:rPr>
          <w:rFonts w:hint="eastAsia" w:ascii="Times New Roman" w:hAnsi="黑体" w:eastAsia="黑体"/>
          <w:szCs w:val="32"/>
        </w:rPr>
      </w:pPr>
    </w:p>
    <w:p>
      <w:pPr>
        <w:spacing w:line="576" w:lineRule="exact"/>
        <w:rPr>
          <w:rFonts w:hint="eastAsia" w:ascii="Times New Roman" w:hAnsi="黑体" w:eastAsia="黑体"/>
          <w:szCs w:val="32"/>
        </w:rPr>
      </w:pPr>
    </w:p>
    <w:p>
      <w:pPr>
        <w:spacing w:line="576" w:lineRule="exact"/>
        <w:rPr>
          <w:rFonts w:hint="eastAsia" w:ascii="Times New Roman" w:hAnsi="Times New Roman"/>
          <w:szCs w:val="32"/>
        </w:rPr>
      </w:pPr>
    </w:p>
    <w:p>
      <w:pPr>
        <w:spacing w:line="576" w:lineRule="exact"/>
        <w:rPr>
          <w:rFonts w:hint="eastAsia"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黑体" w:eastAsia="黑体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黑体" w:eastAsia="黑体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黑体" w:eastAsia="黑体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黑体" w:eastAsia="黑体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黑体" w:eastAsia="黑体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黑体" w:eastAsia="黑体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outlineLvl w:val="9"/>
      </w:pPr>
      <w:r>
        <w:rPr>
          <w:rFonts w:hint="eastAsia" w:ascii="Times New Roman" w:hAnsi="黑体" w:eastAsia="黑体"/>
          <w:szCs w:val="32"/>
        </w:rPr>
        <w:t>公开方式：</w:t>
      </w:r>
      <w:bookmarkStart w:id="0" w:name="gkfs"/>
      <w:bookmarkEnd w:id="0"/>
      <w:r>
        <w:rPr>
          <w:rFonts w:hint="eastAsia" w:ascii="仿宋_GB2312" w:hAnsi="黑体"/>
          <w:szCs w:val="32"/>
          <w:lang w:eastAsia="zh-CN"/>
        </w:rPr>
        <w:t>主动公开</w:t>
      </w:r>
    </w:p>
    <w:sectPr>
      <w:footerReference r:id="rId7" w:type="first"/>
      <w:headerReference r:id="rId4" w:type="default"/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Chen JoRina" w:date="2021-05-10T16:39:00Z" w:initials="CJ">
    <w:p>
      <w:pPr>
        <w:pStyle w:val="4"/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年有进行法定代表人离任审计</w:t>
      </w:r>
    </w:p>
  </w:comment>
  <w:comment w:id="1" w:author="Chen JoRina" w:date="2021-05-10T16:40:00Z" w:initials="CJ">
    <w:p>
      <w:pPr>
        <w:pStyle w:val="4"/>
        <w:rPr>
          <w:rFonts w:hint="eastAsia"/>
        </w:rPr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年有办理法定代表人离任审计</w:t>
      </w:r>
    </w:p>
  </w:comment>
  <w:comment w:id="2" w:author="Chen JoRina" w:date="2021-05-10T16:36:00Z" w:initials="CJ">
    <w:p>
      <w:pPr>
        <w:pStyle w:val="4"/>
        <w:rPr>
          <w:rFonts w:hint="eastAsia"/>
        </w:rPr>
      </w:pPr>
      <w:r>
        <w:rPr>
          <w:rFonts w:hint="eastAsia"/>
        </w:rPr>
        <w:t>名称变更为“广东省演出行业协会”</w:t>
      </w:r>
    </w:p>
  </w:comment>
  <w:comment w:id="3" w:author="Chen JoRina" w:date="2021-05-10T16:49:00Z" w:initials="CJ">
    <w:p>
      <w:pPr>
        <w:pStyle w:val="4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年有办理法定代表人离任审计</w:t>
      </w:r>
    </w:p>
  </w:comment>
  <w:comment w:id="4" w:author="Chen JoRina" w:date="2021-05-10T16:49:00Z" w:initials="CJ">
    <w:p>
      <w:pPr>
        <w:pStyle w:val="4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年有办理法定代表人离任审计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lang w:eastAsia="zh-CN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eastAsia="zh-CN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 w:cs="宋体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570230</wp:posOffset>
          </wp:positionH>
          <wp:positionV relativeFrom="page">
            <wp:posOffset>9658985</wp:posOffset>
          </wp:positionV>
          <wp:extent cx="6286500" cy="158750"/>
          <wp:effectExtent l="0" t="0" r="0" b="12700"/>
          <wp:wrapNone/>
          <wp:docPr id="1" name="Picture 4" descr="line2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line2to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1587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94326"/>
    <w:rsid w:val="6EC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annotation text"/>
    <w:basedOn w:val="1"/>
    <w:uiPriority w:val="0"/>
    <w:pPr>
      <w:jc w:val="left"/>
    </w:pPr>
    <w:rPr>
      <w:rFonts w:ascii="Times New Roman" w:hAnsi="Times New Roman" w:cs="Times New Roman"/>
      <w:sz w:val="30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7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 w:bidi="ar"/>
    </w:rPr>
  </w:style>
  <w:style w:type="character" w:styleId="9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table" w:styleId="11">
    <w:name w:val="Table Grid"/>
    <w:basedOn w:val="10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PlainText"/>
    <w:basedOn w:val="1"/>
    <w:qFormat/>
    <w:uiPriority w:val="0"/>
    <w:pPr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2021-07-02T02:18:00Z</dcterms:created>
  <dc:creator>曾彦敏</dc:creator>
  <cp:lastModifiedBy>曾彦敏</cp:lastModifiedBy>
  <dcterms:modified xsi:type="dcterms:W3CDTF">2021-07-02T02:18:45Z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