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全省性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  <w:t>社会组织注销清算审计申报表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tbl>
      <w:tblPr>
        <w:tblStyle w:val="3"/>
        <w:tblW w:w="9045" w:type="dxa"/>
        <w:jc w:val="center"/>
        <w:tblInd w:w="-24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95"/>
        <w:gridCol w:w="1620"/>
        <w:gridCol w:w="21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全省性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社会组织名称</w:t>
            </w:r>
          </w:p>
        </w:tc>
        <w:tc>
          <w:tcPr>
            <w:tcW w:w="6690" w:type="dxa"/>
            <w:gridSpan w:val="3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业务主管单位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住所地址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注销原因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sz w:val="21"/>
                <w:szCs w:val="21"/>
              </w:rPr>
              <w:t>履行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日，经第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届第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清算公告刊登报纸名称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刊登版面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刊登时间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社会组织承诺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本组织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0" w:firstLineChars="15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6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620" w:firstLineChars="2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月 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此表一式二份，一份由登记管理机关交受托机构作为开展审计工作的凭证，一份由申请人存档。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6E5C"/>
    <w:rsid w:val="0E4B3DFA"/>
    <w:rsid w:val="753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2021-06-03T08:33:00Z</dcterms:created>
  <dc:creator>许桂烁</dc:creator>
  <cp:lastModifiedBy>许桂烁</cp:lastModifiedBy>
  <dcterms:modified xsi:type="dcterms:W3CDTF">2021-06-03T08:33:55Z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